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D9E4A" w14:textId="77777777" w:rsidR="00282B4D" w:rsidRPr="00FA21D1" w:rsidRDefault="00282B4D" w:rsidP="00B43868">
      <w:pPr>
        <w:rPr>
          <w:lang w:val="ru-RU"/>
        </w:rPr>
      </w:pPr>
    </w:p>
    <w:p w14:paraId="3CDE468A" w14:textId="77777777" w:rsidR="00C22FBE" w:rsidRDefault="00000000">
      <w:pPr>
        <w:pStyle w:val="Title"/>
        <w:spacing w:after="240"/>
      </w:pPr>
      <w:r>
        <w:t>Wyniki głosowania nad propozycją układową</w:t>
      </w:r>
    </w:p>
    <w:p w14:paraId="3644E4D0" w14:textId="77777777" w:rsidR="00C22FBE" w:rsidRDefault="00000000">
      <w:r>
        <w:t>Układ dotyczy dłużnika</w:t>
      </w:r>
      <w:r>
        <w:rPr>
          <w:b/>
        </w:rPr>
        <w:t xml:space="preserve"> Local Auto sp. z o.o., Kraków ul. Lipowa 3/21, 30-704 Kraków.</w:t>
      </w:r>
    </w:p>
    <w:p w14:paraId="0C0AE0BF" w14:textId="77777777" w:rsidR="00C22FBE" w:rsidRDefault="00000000">
      <w:r>
        <w:t>Przedstawiona propozycja układowa: Propozycja 1. Dzień układowy postępowania przypadał na 2024-05-31.</w:t>
      </w:r>
    </w:p>
    <w:p w14:paraId="185CC96B" w14:textId="77777777" w:rsidR="00C22FBE" w:rsidRDefault="00C22FBE"/>
    <w:p w14:paraId="3AA7D308" w14:textId="77777777" w:rsidR="00C22FBE" w:rsidRDefault="00000000">
      <w:pPr>
        <w:pStyle w:val="Heading1"/>
        <w:spacing w:after="120"/>
      </w:pPr>
      <w:r>
        <w:t>Podsumowanie wyników</w:t>
      </w:r>
    </w:p>
    <w:p w14:paraId="5357A67B" w14:textId="77777777" w:rsidR="00C22FBE" w:rsidRDefault="00000000">
      <w:r>
        <w:rPr>
          <w:b/>
        </w:rPr>
        <w:t>Podczas głosowania osiągnięto kworum. Układ został przyjęty spełniając kryterium kwotowe wśród wszystkich wierzycieli, mimo że niektóre grupy interesu odrzuciły jego przyjęcie.</w:t>
      </w:r>
    </w:p>
    <w:p w14:paraId="649AAEF3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1F89FC9B" w14:textId="77777777">
        <w:tc>
          <w:tcPr>
            <w:tcW w:w="5400" w:type="dxa"/>
          </w:tcPr>
          <w:p w14:paraId="1D367A32" w14:textId="77777777" w:rsidR="00C22FBE" w:rsidRDefault="00000000">
            <w:r>
              <w:rPr>
                <w:b/>
              </w:rPr>
              <w:t>Kryterium kworum</w:t>
            </w:r>
          </w:p>
          <w:p w14:paraId="4DFA8271" w14:textId="77777777" w:rsidR="00C22FBE" w:rsidRDefault="00000000">
            <w:r>
              <w:t>Obecni: 5 (71.43%)</w:t>
            </w:r>
          </w:p>
          <w:p w14:paraId="1E6AFE52" w14:textId="77777777" w:rsidR="00C22FBE" w:rsidRDefault="00000000">
            <w:r>
              <w:t>Wymagane do uzyskania kworum 1/5 obecności: 2</w:t>
            </w:r>
          </w:p>
          <w:p w14:paraId="09AB5E64" w14:textId="77777777" w:rsidR="00C22FBE" w:rsidRDefault="00000000">
            <w:r>
              <w:rPr>
                <w:b/>
              </w:rPr>
              <w:t>Status: Kryterium spełnione</w:t>
            </w:r>
          </w:p>
          <w:p w14:paraId="0E50EA90" w14:textId="77777777" w:rsidR="00C22FBE" w:rsidRDefault="00000000">
            <w:r>
              <w:rPr>
                <w:noProof/>
              </w:rPr>
              <w:drawing>
                <wp:inline distT="0" distB="0" distL="0" distR="0" wp14:anchorId="72D3C826" wp14:editId="41B24D7F">
                  <wp:extent cx="3060000" cy="311186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434DAF" w14:textId="77777777" w:rsidR="00C22FBE" w:rsidRDefault="00000000">
            <w:r>
              <w:t>Nieobecni: 2</w:t>
            </w:r>
          </w:p>
        </w:tc>
        <w:tc>
          <w:tcPr>
            <w:tcW w:w="5400" w:type="dxa"/>
          </w:tcPr>
          <w:p w14:paraId="1E081555" w14:textId="77777777" w:rsidR="00C22FBE" w:rsidRDefault="00000000">
            <w:r>
              <w:rPr>
                <w:b/>
              </w:rPr>
              <w:t>Kryterium kwotowe</w:t>
            </w:r>
          </w:p>
          <w:p w14:paraId="372720CA" w14:textId="77777777" w:rsidR="00C22FBE" w:rsidRDefault="00000000">
            <w:r>
              <w:t>Za: 2 253 778,00 zł (70.29%)</w:t>
            </w:r>
          </w:p>
          <w:p w14:paraId="7321C716" w14:textId="77777777" w:rsidR="00C22FBE" w:rsidRDefault="00000000">
            <w:r>
              <w:t>Wymagane do osiągnięcia większości 2/3: 2 137 621,34 zł</w:t>
            </w:r>
          </w:p>
          <w:p w14:paraId="71DF91CC" w14:textId="77777777" w:rsidR="00C22FBE" w:rsidRDefault="00000000">
            <w:r>
              <w:rPr>
                <w:b/>
              </w:rPr>
              <w:t>Status: Kryterium spełnione</w:t>
            </w:r>
          </w:p>
          <w:p w14:paraId="28E93439" w14:textId="77777777" w:rsidR="00C22FBE" w:rsidRDefault="00000000">
            <w:r>
              <w:rPr>
                <w:noProof/>
              </w:rPr>
              <w:drawing>
                <wp:inline distT="0" distB="0" distL="0" distR="0" wp14:anchorId="7053C5FE" wp14:editId="58DF9EB4">
                  <wp:extent cx="3060000" cy="315911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8544F4" w14:textId="77777777" w:rsidR="00C22FBE" w:rsidRDefault="00000000">
            <w:r>
              <w:t>Przeciw: 560 333,00 zł (29.71%)</w:t>
            </w:r>
          </w:p>
          <w:p w14:paraId="34B2FABD" w14:textId="77777777" w:rsidR="00C22FBE" w:rsidRDefault="00000000">
            <w:r>
              <w:t>Do uzupełnienia: 392 321,00 zł</w:t>
            </w:r>
          </w:p>
          <w:p w14:paraId="514A040B" w14:textId="77777777" w:rsidR="00C22FBE" w:rsidRDefault="00000000">
            <w:r>
              <w:t>Brak/nieważny: 39 711,00 zł</w:t>
            </w:r>
          </w:p>
        </w:tc>
      </w:tr>
    </w:tbl>
    <w:p w14:paraId="0BAC7B49" w14:textId="77777777" w:rsidR="00C22FBE" w:rsidRDefault="00000000">
      <w:r>
        <w:br w:type="page"/>
      </w:r>
    </w:p>
    <w:p w14:paraId="7302631A" w14:textId="77777777" w:rsidR="00C22FBE" w:rsidRDefault="00000000">
      <w:pPr>
        <w:pStyle w:val="Heading1"/>
        <w:spacing w:after="120"/>
      </w:pPr>
      <w:r>
        <w:lastRenderedPageBreak/>
        <w:t>Grupa 1: Wierzyciele z zabezpieczeniem</w:t>
      </w:r>
    </w:p>
    <w:p w14:paraId="3DA0D681" w14:textId="77777777" w:rsidR="00C22FBE" w:rsidRDefault="00000000">
      <w:r>
        <w:t>Wierzyciele z zabezpieczeniem rzeczowym na majątku dłużnika, dla których propozycje układowe przewidują zaspokojenie zgodne z art. 151 ust. 2a Prawa restrukturyzacyjnego.</w:t>
      </w:r>
    </w:p>
    <w:p w14:paraId="5E51E8A8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61F5FEB7" w14:textId="77777777">
        <w:tc>
          <w:tcPr>
            <w:tcW w:w="5400" w:type="dxa"/>
          </w:tcPr>
          <w:p w14:paraId="07574E0D" w14:textId="77777777" w:rsidR="00C22FBE" w:rsidRDefault="00000000">
            <w:r>
              <w:rPr>
                <w:b/>
              </w:rPr>
              <w:t>Kryterium osobowe</w:t>
            </w:r>
          </w:p>
          <w:p w14:paraId="3B59F41B" w14:textId="77777777" w:rsidR="00C22FBE" w:rsidRDefault="00000000">
            <w:r>
              <w:t>Za: 0 (0%)</w:t>
            </w:r>
          </w:p>
          <w:p w14:paraId="04F6902C" w14:textId="77777777" w:rsidR="00C22FBE" w:rsidRDefault="00000000">
            <w:r>
              <w:t>Wymagane do osiągnięcia większości 50%: 1</w:t>
            </w:r>
          </w:p>
          <w:p w14:paraId="02058BBB" w14:textId="77777777" w:rsidR="00C22FBE" w:rsidRDefault="00000000">
            <w:r>
              <w:rPr>
                <w:b/>
              </w:rPr>
              <w:t>Status: Kryterium niespełnione</w:t>
            </w:r>
          </w:p>
          <w:p w14:paraId="29CE2AB3" w14:textId="77777777" w:rsidR="00C22FBE" w:rsidRDefault="00000000">
            <w:r>
              <w:rPr>
                <w:noProof/>
              </w:rPr>
              <w:drawing>
                <wp:inline distT="0" distB="0" distL="0" distR="0" wp14:anchorId="15D83BC8" wp14:editId="237A19B6">
                  <wp:extent cx="3060000" cy="31591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48DD7C" w14:textId="77777777" w:rsidR="00C22FBE" w:rsidRDefault="00000000">
            <w:r>
              <w:t>Przeciw: 0 (100%)</w:t>
            </w:r>
          </w:p>
          <w:p w14:paraId="3765C154" w14:textId="77777777" w:rsidR="00C22FBE" w:rsidRDefault="00000000">
            <w:r>
              <w:t>Do uzupełnienia: 1</w:t>
            </w:r>
          </w:p>
          <w:p w14:paraId="55B680D7" w14:textId="77777777" w:rsidR="00C22FBE" w:rsidRDefault="00000000">
            <w:r>
              <w:t>Brak/nieważny: 1</w:t>
            </w:r>
          </w:p>
        </w:tc>
        <w:tc>
          <w:tcPr>
            <w:tcW w:w="5400" w:type="dxa"/>
          </w:tcPr>
          <w:p w14:paraId="5579A354" w14:textId="77777777" w:rsidR="00C22FBE" w:rsidRDefault="00000000">
            <w:r>
              <w:rPr>
                <w:b/>
              </w:rPr>
              <w:t>Kryterium kwotowe</w:t>
            </w:r>
          </w:p>
          <w:p w14:paraId="367BA495" w14:textId="77777777" w:rsidR="00C22FBE" w:rsidRDefault="00000000">
            <w:r>
              <w:t>Za: 0 zł (0%)</w:t>
            </w:r>
          </w:p>
          <w:p w14:paraId="4065C484" w14:textId="77777777" w:rsidR="00C22FBE" w:rsidRDefault="00000000">
            <w:r>
              <w:t>Wymagane do osiągnięcia większości 2/3: 261 547,34 zł</w:t>
            </w:r>
          </w:p>
          <w:p w14:paraId="1B30D45F" w14:textId="77777777" w:rsidR="00C22FBE" w:rsidRDefault="00000000">
            <w:r>
              <w:rPr>
                <w:b/>
              </w:rPr>
              <w:t>Status: Kryterium niespełnione</w:t>
            </w:r>
          </w:p>
          <w:p w14:paraId="3B5000E0" w14:textId="77777777" w:rsidR="00C22FBE" w:rsidRDefault="00000000">
            <w:r>
              <w:rPr>
                <w:noProof/>
              </w:rPr>
              <w:drawing>
                <wp:inline distT="0" distB="0" distL="0" distR="0" wp14:anchorId="1E391B7C" wp14:editId="0FE018A6">
                  <wp:extent cx="3060000" cy="31591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3E6C57" w14:textId="77777777" w:rsidR="00C22FBE" w:rsidRDefault="00000000">
            <w:r>
              <w:t>Przeciw: 0 zł (100%)</w:t>
            </w:r>
          </w:p>
          <w:p w14:paraId="00CF0CB7" w14:textId="77777777" w:rsidR="00C22FBE" w:rsidRDefault="00000000">
            <w:r>
              <w:t>Do uzupełnienia: 392 321,00 zł</w:t>
            </w:r>
          </w:p>
          <w:p w14:paraId="22278A6B" w14:textId="77777777" w:rsidR="00C22FBE" w:rsidRDefault="00000000">
            <w:r>
              <w:t>Brak/nieważny: 39 711,00 zł</w:t>
            </w:r>
          </w:p>
        </w:tc>
      </w:tr>
    </w:tbl>
    <w:p w14:paraId="3539A1A3" w14:textId="77777777" w:rsidR="00C22FBE" w:rsidRDefault="00C22FBE"/>
    <w:p w14:paraId="7EFAC2B4" w14:textId="77777777" w:rsidR="00C22FBE" w:rsidRDefault="00000000">
      <w:r>
        <w:rPr>
          <w:b/>
        </w:rPr>
        <w:t>Lista wierzycieli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7"/>
        <w:gridCol w:w="1765"/>
        <w:gridCol w:w="1624"/>
        <w:gridCol w:w="1903"/>
        <w:gridCol w:w="1711"/>
      </w:tblGrid>
      <w:tr w:rsidR="00C22FBE" w14:paraId="1EFEC4EE" w14:textId="77777777">
        <w:tc>
          <w:tcPr>
            <w:tcW w:w="5669" w:type="dxa"/>
            <w:shd w:val="clear" w:color="auto" w:fill="00685E"/>
          </w:tcPr>
          <w:p w14:paraId="750C6115" w14:textId="77777777" w:rsidR="00C22FBE" w:rsidRDefault="00000000">
            <w:r>
              <w:rPr>
                <w:b/>
                <w:color w:val="FFFFFF"/>
              </w:rPr>
              <w:t>Wierzyciel</w:t>
            </w:r>
          </w:p>
        </w:tc>
        <w:tc>
          <w:tcPr>
            <w:tcW w:w="1701" w:type="dxa"/>
            <w:shd w:val="clear" w:color="auto" w:fill="00685E"/>
          </w:tcPr>
          <w:p w14:paraId="76F55FD5" w14:textId="77777777" w:rsidR="00C22FBE" w:rsidRDefault="00000000">
            <w:pPr>
              <w:jc w:val="right"/>
            </w:pPr>
            <w:r>
              <w:rPr>
                <w:b/>
                <w:color w:val="FFFFFF"/>
              </w:rPr>
              <w:t>Siła głosu</w:t>
            </w:r>
          </w:p>
        </w:tc>
        <w:tc>
          <w:tcPr>
            <w:tcW w:w="850" w:type="dxa"/>
            <w:shd w:val="clear" w:color="auto" w:fill="00685E"/>
          </w:tcPr>
          <w:p w14:paraId="3E6A5C4D" w14:textId="77777777" w:rsidR="00C22FBE" w:rsidRDefault="00000000">
            <w:r>
              <w:rPr>
                <w:b/>
                <w:color w:val="FFFFFF"/>
              </w:rPr>
              <w:t>Siła głosu (%)</w:t>
            </w:r>
          </w:p>
        </w:tc>
        <w:tc>
          <w:tcPr>
            <w:tcW w:w="1134" w:type="dxa"/>
            <w:shd w:val="clear" w:color="auto" w:fill="00685E"/>
          </w:tcPr>
          <w:p w14:paraId="1163BB6F" w14:textId="77777777" w:rsidR="00C22FBE" w:rsidRDefault="00000000">
            <w:r>
              <w:rPr>
                <w:b/>
                <w:color w:val="FFFFFF"/>
              </w:rPr>
              <w:t>Głos</w:t>
            </w:r>
          </w:p>
        </w:tc>
        <w:tc>
          <w:tcPr>
            <w:tcW w:w="1134" w:type="dxa"/>
            <w:shd w:val="clear" w:color="auto" w:fill="00685E"/>
          </w:tcPr>
          <w:p w14:paraId="3A1A5369" w14:textId="77777777" w:rsidR="00C22FBE" w:rsidRDefault="00000000">
            <w:r>
              <w:rPr>
                <w:b/>
                <w:color w:val="FFFFFF"/>
              </w:rPr>
              <w:t>Szczegóły głosu</w:t>
            </w:r>
          </w:p>
        </w:tc>
      </w:tr>
      <w:tr w:rsidR="00C22FBE" w14:paraId="21C3CD3B" w14:textId="77777777">
        <w:tc>
          <w:tcPr>
            <w:tcW w:w="2160" w:type="dxa"/>
          </w:tcPr>
          <w:p w14:paraId="2ED59383" w14:textId="77777777" w:rsidR="00C22FBE" w:rsidRDefault="00000000">
            <w:r>
              <w:t>AMICA S.A., Wronki</w:t>
            </w:r>
          </w:p>
        </w:tc>
        <w:tc>
          <w:tcPr>
            <w:tcW w:w="2160" w:type="dxa"/>
          </w:tcPr>
          <w:p w14:paraId="5288D325" w14:textId="77777777" w:rsidR="00C22FBE" w:rsidRDefault="00000000">
            <w:pPr>
              <w:jc w:val="right"/>
            </w:pPr>
            <w:r>
              <w:t>392 321,00 zł</w:t>
            </w:r>
          </w:p>
        </w:tc>
        <w:tc>
          <w:tcPr>
            <w:tcW w:w="2160" w:type="dxa"/>
          </w:tcPr>
          <w:p w14:paraId="66190203" w14:textId="77777777" w:rsidR="00C22FBE" w:rsidRDefault="00000000">
            <w:r>
              <w:t>90.81%</w:t>
            </w:r>
          </w:p>
        </w:tc>
        <w:tc>
          <w:tcPr>
            <w:tcW w:w="2160" w:type="dxa"/>
          </w:tcPr>
          <w:p w14:paraId="686F298B" w14:textId="77777777" w:rsidR="00C22FBE" w:rsidRDefault="00000000">
            <w:r>
              <w:t>Do uzupełnienia</w:t>
            </w:r>
          </w:p>
        </w:tc>
        <w:tc>
          <w:tcPr>
            <w:tcW w:w="2160" w:type="dxa"/>
          </w:tcPr>
          <w:p w14:paraId="0B99AE63" w14:textId="77777777" w:rsidR="00C22FBE" w:rsidRDefault="00C22FBE"/>
        </w:tc>
      </w:tr>
      <w:tr w:rsidR="00C22FBE" w14:paraId="7F67F6FA" w14:textId="77777777">
        <w:tc>
          <w:tcPr>
            <w:tcW w:w="2160" w:type="dxa"/>
          </w:tcPr>
          <w:p w14:paraId="6FA50BED" w14:textId="77777777" w:rsidR="00C22FBE" w:rsidRDefault="00000000">
            <w:r>
              <w:t>"LIDL POLSKA" sp. z o.o., Jankowice</w:t>
            </w:r>
          </w:p>
        </w:tc>
        <w:tc>
          <w:tcPr>
            <w:tcW w:w="2160" w:type="dxa"/>
          </w:tcPr>
          <w:p w14:paraId="29C7657B" w14:textId="77777777" w:rsidR="00C22FBE" w:rsidRDefault="00000000">
            <w:pPr>
              <w:jc w:val="right"/>
            </w:pPr>
            <w:r>
              <w:t>39 711,00 zł</w:t>
            </w:r>
          </w:p>
        </w:tc>
        <w:tc>
          <w:tcPr>
            <w:tcW w:w="2160" w:type="dxa"/>
          </w:tcPr>
          <w:p w14:paraId="618CE630" w14:textId="77777777" w:rsidR="00C22FBE" w:rsidRDefault="00000000">
            <w:r>
              <w:t>9.19%</w:t>
            </w:r>
          </w:p>
        </w:tc>
        <w:tc>
          <w:tcPr>
            <w:tcW w:w="2160" w:type="dxa"/>
          </w:tcPr>
          <w:p w14:paraId="7567BCB7" w14:textId="77777777" w:rsidR="00C22FBE" w:rsidRDefault="00000000">
            <w:r>
              <w:t>Brak/nieważny</w:t>
            </w:r>
          </w:p>
        </w:tc>
        <w:tc>
          <w:tcPr>
            <w:tcW w:w="2160" w:type="dxa"/>
          </w:tcPr>
          <w:p w14:paraId="27BFAD4C" w14:textId="77777777" w:rsidR="00C22FBE" w:rsidRDefault="00C22FBE"/>
        </w:tc>
      </w:tr>
    </w:tbl>
    <w:p w14:paraId="527AC1C4" w14:textId="77777777" w:rsidR="00C22FBE" w:rsidRDefault="00C22FBE"/>
    <w:p w14:paraId="4A685A17" w14:textId="77777777" w:rsidR="00C22FBE" w:rsidRDefault="00000000">
      <w:r>
        <w:br w:type="page"/>
      </w:r>
    </w:p>
    <w:p w14:paraId="2054EEB0" w14:textId="77777777" w:rsidR="00C22FBE" w:rsidRDefault="00000000">
      <w:pPr>
        <w:pStyle w:val="Heading1"/>
        <w:spacing w:after="120"/>
      </w:pPr>
      <w:r>
        <w:lastRenderedPageBreak/>
        <w:t>Grupa 2: Publicznoprawni</w:t>
      </w:r>
    </w:p>
    <w:p w14:paraId="7555909A" w14:textId="77777777" w:rsidR="00C22FBE" w:rsidRDefault="00000000">
      <w:r>
        <w:t>Wierzyciele publicznoprawni objęci dyspozycją art. 160 ust. 1 Prawa restrukturyzacyjnego (Zakład Ubezpieczeń Społecznych).</w:t>
      </w:r>
    </w:p>
    <w:p w14:paraId="6E996CC3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510B5933" w14:textId="77777777">
        <w:tc>
          <w:tcPr>
            <w:tcW w:w="5400" w:type="dxa"/>
          </w:tcPr>
          <w:p w14:paraId="0EEE689B" w14:textId="77777777" w:rsidR="00C22FBE" w:rsidRDefault="00000000">
            <w:r>
              <w:rPr>
                <w:b/>
              </w:rPr>
              <w:t>Kryterium osobowe</w:t>
            </w:r>
          </w:p>
          <w:p w14:paraId="6B2FCE35" w14:textId="77777777" w:rsidR="00C22FBE" w:rsidRDefault="00000000">
            <w:r>
              <w:t>Za: 2 (66.67%)</w:t>
            </w:r>
          </w:p>
          <w:p w14:paraId="2406C788" w14:textId="77777777" w:rsidR="00C22FBE" w:rsidRDefault="00000000">
            <w:r>
              <w:t>Wymagane do osiągnięcia większości 50%: 2</w:t>
            </w:r>
          </w:p>
          <w:p w14:paraId="3321850C" w14:textId="77777777" w:rsidR="00C22FBE" w:rsidRDefault="00000000">
            <w:r>
              <w:rPr>
                <w:b/>
              </w:rPr>
              <w:t>Status: Kryterium spełnione</w:t>
            </w:r>
          </w:p>
          <w:p w14:paraId="27F9F2A1" w14:textId="77777777" w:rsidR="00C22FBE" w:rsidRDefault="00000000">
            <w:r>
              <w:rPr>
                <w:noProof/>
              </w:rPr>
              <w:drawing>
                <wp:inline distT="0" distB="0" distL="0" distR="0" wp14:anchorId="231E5F6A" wp14:editId="5F3F2771">
                  <wp:extent cx="3060000" cy="31591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DDD917" w14:textId="77777777" w:rsidR="00C22FBE" w:rsidRDefault="00000000">
            <w:r>
              <w:t>Przeciw: 1 (33.33%)</w:t>
            </w:r>
          </w:p>
        </w:tc>
        <w:tc>
          <w:tcPr>
            <w:tcW w:w="5400" w:type="dxa"/>
          </w:tcPr>
          <w:p w14:paraId="6BDE0F96" w14:textId="77777777" w:rsidR="00C22FBE" w:rsidRDefault="00000000">
            <w:r>
              <w:rPr>
                <w:b/>
              </w:rPr>
              <w:t>Kryterium kwotowe</w:t>
            </w:r>
          </w:p>
          <w:p w14:paraId="4108CB3A" w14:textId="77777777" w:rsidR="00C22FBE" w:rsidRDefault="00000000">
            <w:r>
              <w:t>Za: 2 138 455,00 zł (79.24%)</w:t>
            </w:r>
          </w:p>
          <w:p w14:paraId="096952E8" w14:textId="77777777" w:rsidR="00C22FBE" w:rsidRDefault="00000000">
            <w:r>
              <w:t>Wymagane do osiągnięcia większości 2/3: 1 799 192,01 zł</w:t>
            </w:r>
          </w:p>
          <w:p w14:paraId="289E31CD" w14:textId="77777777" w:rsidR="00C22FBE" w:rsidRDefault="00000000">
            <w:r>
              <w:rPr>
                <w:b/>
              </w:rPr>
              <w:t>Status: Kryterium spełnione</w:t>
            </w:r>
          </w:p>
          <w:p w14:paraId="57E93CB2" w14:textId="77777777" w:rsidR="00C22FBE" w:rsidRDefault="00000000">
            <w:r>
              <w:rPr>
                <w:noProof/>
              </w:rPr>
              <w:drawing>
                <wp:inline distT="0" distB="0" distL="0" distR="0" wp14:anchorId="14D91443" wp14:editId="66EB0BA1">
                  <wp:extent cx="3060000" cy="315911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9CA4D7C" w14:textId="77777777" w:rsidR="00C22FBE" w:rsidRDefault="00000000">
            <w:r>
              <w:t>Przeciw: 560 333,00 zł (20.76%)</w:t>
            </w:r>
          </w:p>
        </w:tc>
      </w:tr>
    </w:tbl>
    <w:p w14:paraId="3B69DA7C" w14:textId="77777777" w:rsidR="00C22FBE" w:rsidRDefault="00C22FBE"/>
    <w:p w14:paraId="66EFA288" w14:textId="77777777" w:rsidR="00C22FBE" w:rsidRDefault="00000000">
      <w:r>
        <w:rPr>
          <w:b/>
        </w:rPr>
        <w:t>Lista wierzycieli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1850"/>
        <w:gridCol w:w="1653"/>
        <w:gridCol w:w="1664"/>
        <w:gridCol w:w="1735"/>
      </w:tblGrid>
      <w:tr w:rsidR="00C22FBE" w14:paraId="79A9B1CF" w14:textId="77777777">
        <w:tc>
          <w:tcPr>
            <w:tcW w:w="5669" w:type="dxa"/>
            <w:shd w:val="clear" w:color="auto" w:fill="00685E"/>
          </w:tcPr>
          <w:p w14:paraId="123B334B" w14:textId="77777777" w:rsidR="00C22FBE" w:rsidRDefault="00000000">
            <w:r>
              <w:rPr>
                <w:b/>
                <w:color w:val="FFFFFF"/>
              </w:rPr>
              <w:t>Wierzyciel</w:t>
            </w:r>
          </w:p>
        </w:tc>
        <w:tc>
          <w:tcPr>
            <w:tcW w:w="1701" w:type="dxa"/>
            <w:shd w:val="clear" w:color="auto" w:fill="00685E"/>
          </w:tcPr>
          <w:p w14:paraId="042B8FB4" w14:textId="77777777" w:rsidR="00C22FBE" w:rsidRDefault="00000000">
            <w:pPr>
              <w:jc w:val="right"/>
            </w:pPr>
            <w:r>
              <w:rPr>
                <w:b/>
                <w:color w:val="FFFFFF"/>
              </w:rPr>
              <w:t>Siła głosu</w:t>
            </w:r>
          </w:p>
        </w:tc>
        <w:tc>
          <w:tcPr>
            <w:tcW w:w="850" w:type="dxa"/>
            <w:shd w:val="clear" w:color="auto" w:fill="00685E"/>
          </w:tcPr>
          <w:p w14:paraId="16349C7F" w14:textId="77777777" w:rsidR="00C22FBE" w:rsidRDefault="00000000">
            <w:r>
              <w:rPr>
                <w:b/>
                <w:color w:val="FFFFFF"/>
              </w:rPr>
              <w:t>Siła głosu (%)</w:t>
            </w:r>
          </w:p>
        </w:tc>
        <w:tc>
          <w:tcPr>
            <w:tcW w:w="1134" w:type="dxa"/>
            <w:shd w:val="clear" w:color="auto" w:fill="00685E"/>
          </w:tcPr>
          <w:p w14:paraId="7B647F23" w14:textId="77777777" w:rsidR="00C22FBE" w:rsidRDefault="00000000">
            <w:r>
              <w:rPr>
                <w:b/>
                <w:color w:val="FFFFFF"/>
              </w:rPr>
              <w:t>Głos</w:t>
            </w:r>
          </w:p>
        </w:tc>
        <w:tc>
          <w:tcPr>
            <w:tcW w:w="1134" w:type="dxa"/>
            <w:shd w:val="clear" w:color="auto" w:fill="00685E"/>
          </w:tcPr>
          <w:p w14:paraId="596E5B19" w14:textId="77777777" w:rsidR="00C22FBE" w:rsidRDefault="00000000">
            <w:r>
              <w:rPr>
                <w:b/>
                <w:color w:val="FFFFFF"/>
              </w:rPr>
              <w:t>Szczegóły głosu</w:t>
            </w:r>
          </w:p>
        </w:tc>
      </w:tr>
      <w:tr w:rsidR="00C22FBE" w14:paraId="2D6F92E3" w14:textId="77777777">
        <w:tc>
          <w:tcPr>
            <w:tcW w:w="2160" w:type="dxa"/>
          </w:tcPr>
          <w:p w14:paraId="7E174955" w14:textId="77777777" w:rsidR="00C22FBE" w:rsidRDefault="00000000">
            <w:r>
              <w:t>ORLEN AVIATION sp. z o.o., Warszawa</w:t>
            </w:r>
          </w:p>
        </w:tc>
        <w:tc>
          <w:tcPr>
            <w:tcW w:w="2160" w:type="dxa"/>
          </w:tcPr>
          <w:p w14:paraId="5E653ABD" w14:textId="77777777" w:rsidR="00C22FBE" w:rsidRDefault="00000000">
            <w:pPr>
              <w:jc w:val="right"/>
            </w:pPr>
            <w:r>
              <w:t>1 965 690,00 zł</w:t>
            </w:r>
          </w:p>
        </w:tc>
        <w:tc>
          <w:tcPr>
            <w:tcW w:w="2160" w:type="dxa"/>
          </w:tcPr>
          <w:p w14:paraId="6C8B3E0C" w14:textId="77777777" w:rsidR="00C22FBE" w:rsidRDefault="00000000">
            <w:r>
              <w:t>72.84%</w:t>
            </w:r>
          </w:p>
        </w:tc>
        <w:tc>
          <w:tcPr>
            <w:tcW w:w="2160" w:type="dxa"/>
          </w:tcPr>
          <w:p w14:paraId="34D846F3" w14:textId="77777777" w:rsidR="00C22FBE" w:rsidRDefault="00000000">
            <w:r>
              <w:t>✅ Za</w:t>
            </w:r>
          </w:p>
        </w:tc>
        <w:tc>
          <w:tcPr>
            <w:tcW w:w="2160" w:type="dxa"/>
          </w:tcPr>
          <w:p w14:paraId="6826A407" w14:textId="77777777" w:rsidR="00C22FBE" w:rsidRDefault="00C22FBE"/>
        </w:tc>
      </w:tr>
      <w:tr w:rsidR="00C22FBE" w14:paraId="13910E54" w14:textId="77777777">
        <w:tc>
          <w:tcPr>
            <w:tcW w:w="2160" w:type="dxa"/>
          </w:tcPr>
          <w:p w14:paraId="2C62C8FC" w14:textId="77777777" w:rsidR="00C22FBE" w:rsidRDefault="00000000">
            <w:r>
              <w:t>TOP FINANCE COMPANY sp. z o.o., Warszawa</w:t>
            </w:r>
          </w:p>
        </w:tc>
        <w:tc>
          <w:tcPr>
            <w:tcW w:w="2160" w:type="dxa"/>
          </w:tcPr>
          <w:p w14:paraId="64C54010" w14:textId="77777777" w:rsidR="00C22FBE" w:rsidRDefault="00000000">
            <w:pPr>
              <w:jc w:val="right"/>
            </w:pPr>
            <w:r>
              <w:t>560 333,00 zł</w:t>
            </w:r>
          </w:p>
        </w:tc>
        <w:tc>
          <w:tcPr>
            <w:tcW w:w="2160" w:type="dxa"/>
          </w:tcPr>
          <w:p w14:paraId="7E37A1D1" w14:textId="77777777" w:rsidR="00C22FBE" w:rsidRDefault="00000000">
            <w:r>
              <w:t>20.76%</w:t>
            </w:r>
          </w:p>
        </w:tc>
        <w:tc>
          <w:tcPr>
            <w:tcW w:w="2160" w:type="dxa"/>
          </w:tcPr>
          <w:p w14:paraId="3747C05E" w14:textId="77777777" w:rsidR="00C22FBE" w:rsidRDefault="00000000">
            <w:r>
              <w:t>❌ Przeciw</w:t>
            </w:r>
          </w:p>
        </w:tc>
        <w:tc>
          <w:tcPr>
            <w:tcW w:w="2160" w:type="dxa"/>
          </w:tcPr>
          <w:p w14:paraId="56ABB023" w14:textId="77777777" w:rsidR="00C22FBE" w:rsidRDefault="00C22FBE"/>
        </w:tc>
      </w:tr>
      <w:tr w:rsidR="00C22FBE" w14:paraId="0AF40A02" w14:textId="77777777">
        <w:tc>
          <w:tcPr>
            <w:tcW w:w="2160" w:type="dxa"/>
          </w:tcPr>
          <w:p w14:paraId="3EDF574D" w14:textId="77777777" w:rsidR="00C22FBE" w:rsidRDefault="00000000">
            <w:r>
              <w:t>PGNIG TERMIKA S.A., Warszawa</w:t>
            </w:r>
          </w:p>
        </w:tc>
        <w:tc>
          <w:tcPr>
            <w:tcW w:w="2160" w:type="dxa"/>
          </w:tcPr>
          <w:p w14:paraId="1924F3F3" w14:textId="77777777" w:rsidR="00C22FBE" w:rsidRDefault="00000000">
            <w:pPr>
              <w:jc w:val="right"/>
            </w:pPr>
            <w:r>
              <w:t>172 765,00 zł</w:t>
            </w:r>
          </w:p>
        </w:tc>
        <w:tc>
          <w:tcPr>
            <w:tcW w:w="2160" w:type="dxa"/>
          </w:tcPr>
          <w:p w14:paraId="39AF75FD" w14:textId="77777777" w:rsidR="00C22FBE" w:rsidRDefault="00000000">
            <w:r>
              <w:t>6.40%</w:t>
            </w:r>
          </w:p>
        </w:tc>
        <w:tc>
          <w:tcPr>
            <w:tcW w:w="2160" w:type="dxa"/>
          </w:tcPr>
          <w:p w14:paraId="1B4E340B" w14:textId="77777777" w:rsidR="00C22FBE" w:rsidRDefault="00000000">
            <w:r>
              <w:t>✅ Za</w:t>
            </w:r>
          </w:p>
        </w:tc>
        <w:tc>
          <w:tcPr>
            <w:tcW w:w="2160" w:type="dxa"/>
          </w:tcPr>
          <w:p w14:paraId="222F4843" w14:textId="77777777" w:rsidR="00C22FBE" w:rsidRDefault="00C22FBE"/>
        </w:tc>
      </w:tr>
    </w:tbl>
    <w:p w14:paraId="4F30B622" w14:textId="77777777" w:rsidR="00C22FBE" w:rsidRDefault="00C22FBE"/>
    <w:p w14:paraId="1AC8142A" w14:textId="77777777" w:rsidR="00C22FBE" w:rsidRDefault="00000000">
      <w:r>
        <w:br w:type="page"/>
      </w:r>
    </w:p>
    <w:p w14:paraId="08BA529F" w14:textId="77777777" w:rsidR="00C22FBE" w:rsidRDefault="00000000">
      <w:pPr>
        <w:pStyle w:val="Heading1"/>
        <w:spacing w:after="120"/>
      </w:pPr>
      <w:r>
        <w:lastRenderedPageBreak/>
        <w:t>Grupa 3: Leasingi</w:t>
      </w:r>
    </w:p>
    <w:p w14:paraId="6F005C8D" w14:textId="77777777" w:rsidR="00C22FBE" w:rsidRDefault="00000000">
      <w:r>
        <w:t>Wierzyciele którym przysługują wierzytelności z tytułu umów leasingu.</w:t>
      </w:r>
    </w:p>
    <w:p w14:paraId="7BEB6F4D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55F5A7B0" w14:textId="77777777">
        <w:tc>
          <w:tcPr>
            <w:tcW w:w="5400" w:type="dxa"/>
          </w:tcPr>
          <w:p w14:paraId="1219D456" w14:textId="77777777" w:rsidR="00C22FBE" w:rsidRDefault="00000000">
            <w:r>
              <w:rPr>
                <w:b/>
              </w:rPr>
              <w:t>Kryterium osobowe</w:t>
            </w:r>
          </w:p>
          <w:p w14:paraId="03F3A85C" w14:textId="77777777" w:rsidR="00C22FBE" w:rsidRDefault="00000000">
            <w:r>
              <w:t>Za: 1 (100%)</w:t>
            </w:r>
          </w:p>
          <w:p w14:paraId="358E7EFB" w14:textId="77777777" w:rsidR="00C22FBE" w:rsidRDefault="00000000">
            <w:r>
              <w:t>Wymagane do osiągnięcia większości 50%: 1</w:t>
            </w:r>
          </w:p>
          <w:p w14:paraId="36AA2772" w14:textId="77777777" w:rsidR="00C22FBE" w:rsidRDefault="00000000">
            <w:r>
              <w:rPr>
                <w:b/>
              </w:rPr>
              <w:t>Status: Kryterium spełnione</w:t>
            </w:r>
          </w:p>
          <w:p w14:paraId="38B80619" w14:textId="77777777" w:rsidR="00C22FBE" w:rsidRDefault="00000000">
            <w:r>
              <w:rPr>
                <w:noProof/>
              </w:rPr>
              <w:drawing>
                <wp:inline distT="0" distB="0" distL="0" distR="0" wp14:anchorId="622A0FA7" wp14:editId="02A776A7">
                  <wp:extent cx="3060000" cy="315911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CEC414" w14:textId="77777777" w:rsidR="00C22FBE" w:rsidRDefault="00000000">
            <w:r>
              <w:t>Przeciw: 0 (0%)</w:t>
            </w:r>
          </w:p>
        </w:tc>
        <w:tc>
          <w:tcPr>
            <w:tcW w:w="5400" w:type="dxa"/>
          </w:tcPr>
          <w:p w14:paraId="4544E252" w14:textId="77777777" w:rsidR="00C22FBE" w:rsidRDefault="00000000">
            <w:r>
              <w:rPr>
                <w:b/>
              </w:rPr>
              <w:t>Kryterium kwotowe</w:t>
            </w:r>
          </w:p>
          <w:p w14:paraId="7EAB4052" w14:textId="77777777" w:rsidR="00C22FBE" w:rsidRDefault="00000000">
            <w:r>
              <w:t>Za: 12 000,00 zł (100%)</w:t>
            </w:r>
          </w:p>
          <w:p w14:paraId="0ACF9682" w14:textId="77777777" w:rsidR="00C22FBE" w:rsidRDefault="00000000">
            <w:r>
              <w:t>Wymagane do osiągnięcia większości 2/3: 8 000,01 zł</w:t>
            </w:r>
          </w:p>
          <w:p w14:paraId="58CDB159" w14:textId="77777777" w:rsidR="00C22FBE" w:rsidRDefault="00000000">
            <w:r>
              <w:rPr>
                <w:b/>
              </w:rPr>
              <w:t>Status: Kryterium spełnione</w:t>
            </w:r>
          </w:p>
          <w:p w14:paraId="66197F0B" w14:textId="77777777" w:rsidR="00C22FBE" w:rsidRDefault="00000000">
            <w:r>
              <w:rPr>
                <w:noProof/>
              </w:rPr>
              <w:drawing>
                <wp:inline distT="0" distB="0" distL="0" distR="0" wp14:anchorId="6D7F973E" wp14:editId="52DA16AB">
                  <wp:extent cx="3060000" cy="315911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2BAF6B" w14:textId="77777777" w:rsidR="00C22FBE" w:rsidRDefault="00000000">
            <w:r>
              <w:t>Przeciw: 0 zł (0%)</w:t>
            </w:r>
          </w:p>
        </w:tc>
      </w:tr>
    </w:tbl>
    <w:p w14:paraId="4C2EE287" w14:textId="77777777" w:rsidR="00C22FBE" w:rsidRDefault="00C22FBE"/>
    <w:p w14:paraId="3DB53BD8" w14:textId="77777777" w:rsidR="00C22FBE" w:rsidRDefault="00000000">
      <w:r>
        <w:rPr>
          <w:b/>
        </w:rPr>
        <w:t>Lista wierzycieli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56"/>
        <w:gridCol w:w="1767"/>
        <w:gridCol w:w="1620"/>
        <w:gridCol w:w="1588"/>
        <w:gridCol w:w="1759"/>
      </w:tblGrid>
      <w:tr w:rsidR="00C22FBE" w14:paraId="775280ED" w14:textId="77777777">
        <w:tc>
          <w:tcPr>
            <w:tcW w:w="5669" w:type="dxa"/>
            <w:shd w:val="clear" w:color="auto" w:fill="00685E"/>
          </w:tcPr>
          <w:p w14:paraId="6CC5AF66" w14:textId="77777777" w:rsidR="00C22FBE" w:rsidRDefault="00000000">
            <w:r>
              <w:rPr>
                <w:b/>
                <w:color w:val="FFFFFF"/>
              </w:rPr>
              <w:t>Wierzyciel</w:t>
            </w:r>
          </w:p>
        </w:tc>
        <w:tc>
          <w:tcPr>
            <w:tcW w:w="1701" w:type="dxa"/>
            <w:shd w:val="clear" w:color="auto" w:fill="00685E"/>
          </w:tcPr>
          <w:p w14:paraId="76E6C567" w14:textId="77777777" w:rsidR="00C22FBE" w:rsidRDefault="00000000">
            <w:pPr>
              <w:jc w:val="right"/>
            </w:pPr>
            <w:r>
              <w:rPr>
                <w:b/>
                <w:color w:val="FFFFFF"/>
              </w:rPr>
              <w:t>Siła głosu</w:t>
            </w:r>
          </w:p>
        </w:tc>
        <w:tc>
          <w:tcPr>
            <w:tcW w:w="850" w:type="dxa"/>
            <w:shd w:val="clear" w:color="auto" w:fill="00685E"/>
          </w:tcPr>
          <w:p w14:paraId="0E2FE919" w14:textId="77777777" w:rsidR="00C22FBE" w:rsidRDefault="00000000">
            <w:r>
              <w:rPr>
                <w:b/>
                <w:color w:val="FFFFFF"/>
              </w:rPr>
              <w:t>Siła głosu (%)</w:t>
            </w:r>
          </w:p>
        </w:tc>
        <w:tc>
          <w:tcPr>
            <w:tcW w:w="1134" w:type="dxa"/>
            <w:shd w:val="clear" w:color="auto" w:fill="00685E"/>
          </w:tcPr>
          <w:p w14:paraId="5F0E0E1E" w14:textId="77777777" w:rsidR="00C22FBE" w:rsidRDefault="00000000">
            <w:r>
              <w:rPr>
                <w:b/>
                <w:color w:val="FFFFFF"/>
              </w:rPr>
              <w:t>Głos</w:t>
            </w:r>
          </w:p>
        </w:tc>
        <w:tc>
          <w:tcPr>
            <w:tcW w:w="1134" w:type="dxa"/>
            <w:shd w:val="clear" w:color="auto" w:fill="00685E"/>
          </w:tcPr>
          <w:p w14:paraId="39406AEB" w14:textId="77777777" w:rsidR="00C22FBE" w:rsidRDefault="00000000">
            <w:r>
              <w:rPr>
                <w:b/>
                <w:color w:val="FFFFFF"/>
              </w:rPr>
              <w:t>Szczegóły głosu</w:t>
            </w:r>
          </w:p>
        </w:tc>
      </w:tr>
      <w:tr w:rsidR="00C22FBE" w14:paraId="1DC622D5" w14:textId="77777777">
        <w:tc>
          <w:tcPr>
            <w:tcW w:w="2160" w:type="dxa"/>
          </w:tcPr>
          <w:p w14:paraId="3328EFD8" w14:textId="77777777" w:rsidR="00C22FBE" w:rsidRDefault="00000000">
            <w:r>
              <w:t>LOTOS BIOPALIWA sp. z o.o., Czechowice-Dziedzice</w:t>
            </w:r>
          </w:p>
        </w:tc>
        <w:tc>
          <w:tcPr>
            <w:tcW w:w="2160" w:type="dxa"/>
          </w:tcPr>
          <w:p w14:paraId="448612F3" w14:textId="77777777" w:rsidR="00C22FBE" w:rsidRDefault="00000000">
            <w:pPr>
              <w:jc w:val="right"/>
            </w:pPr>
            <w:r>
              <w:t>12 000,00 zł</w:t>
            </w:r>
          </w:p>
        </w:tc>
        <w:tc>
          <w:tcPr>
            <w:tcW w:w="2160" w:type="dxa"/>
          </w:tcPr>
          <w:p w14:paraId="6691DA2E" w14:textId="77777777" w:rsidR="00C22FBE" w:rsidRDefault="00000000">
            <w:r>
              <w:t>100%</w:t>
            </w:r>
          </w:p>
        </w:tc>
        <w:tc>
          <w:tcPr>
            <w:tcW w:w="2160" w:type="dxa"/>
          </w:tcPr>
          <w:p w14:paraId="046BF1C1" w14:textId="77777777" w:rsidR="00C22FBE" w:rsidRDefault="00000000">
            <w:r>
              <w:t>✅ Za</w:t>
            </w:r>
          </w:p>
        </w:tc>
        <w:tc>
          <w:tcPr>
            <w:tcW w:w="2160" w:type="dxa"/>
          </w:tcPr>
          <w:p w14:paraId="3C2620D3" w14:textId="77777777" w:rsidR="00C22FBE" w:rsidRDefault="00C22FBE"/>
        </w:tc>
      </w:tr>
    </w:tbl>
    <w:p w14:paraId="55331999" w14:textId="77777777" w:rsidR="00C22FBE" w:rsidRDefault="00C22FBE"/>
    <w:p w14:paraId="2469E2B8" w14:textId="77777777" w:rsidR="00C22FBE" w:rsidRDefault="00000000">
      <w:r>
        <w:br w:type="page"/>
      </w:r>
    </w:p>
    <w:p w14:paraId="0D2B620C" w14:textId="77777777" w:rsidR="00C22FBE" w:rsidRDefault="00000000">
      <w:pPr>
        <w:pStyle w:val="Heading1"/>
        <w:spacing w:after="120"/>
      </w:pPr>
      <w:r>
        <w:lastRenderedPageBreak/>
        <w:t>Grupa 4: Powyżej 200 tys.</w:t>
      </w:r>
    </w:p>
    <w:p w14:paraId="545D187C" w14:textId="77777777" w:rsidR="00C22FBE" w:rsidRDefault="00000000">
      <w:r>
        <w:t>Wierzyciele którym przysługuje wierzytelność na dzień układowy w kwocie wyższej niż 200.000,00 zł niezaliczeni do innych grup wierzycieli.</w:t>
      </w:r>
    </w:p>
    <w:p w14:paraId="12813ABF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3948A6A3" w14:textId="77777777">
        <w:tc>
          <w:tcPr>
            <w:tcW w:w="5400" w:type="dxa"/>
          </w:tcPr>
          <w:p w14:paraId="02B761DF" w14:textId="77777777" w:rsidR="00C22FBE" w:rsidRDefault="00000000">
            <w:r>
              <w:rPr>
                <w:b/>
              </w:rPr>
              <w:t>Kryterium osobowe</w:t>
            </w:r>
          </w:p>
          <w:p w14:paraId="50324921" w14:textId="77777777" w:rsidR="00C22FBE" w:rsidRDefault="00000000">
            <w:r>
              <w:t>Za: 1 (100%)</w:t>
            </w:r>
          </w:p>
          <w:p w14:paraId="342C5BC5" w14:textId="77777777" w:rsidR="00C22FBE" w:rsidRDefault="00000000">
            <w:r>
              <w:t>Wymagane do osiągnięcia większości 50%: 1</w:t>
            </w:r>
          </w:p>
          <w:p w14:paraId="24C96AD0" w14:textId="77777777" w:rsidR="00C22FBE" w:rsidRDefault="00000000">
            <w:r>
              <w:rPr>
                <w:b/>
              </w:rPr>
              <w:t>Status: Kryterium spełnione</w:t>
            </w:r>
          </w:p>
          <w:p w14:paraId="5E1363A9" w14:textId="77777777" w:rsidR="00C22FBE" w:rsidRDefault="00000000">
            <w:r>
              <w:rPr>
                <w:noProof/>
              </w:rPr>
              <w:drawing>
                <wp:inline distT="0" distB="0" distL="0" distR="0" wp14:anchorId="13A4732B" wp14:editId="26E2F251">
                  <wp:extent cx="3060000" cy="315911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E329C8" w14:textId="77777777" w:rsidR="00C22FBE" w:rsidRDefault="00000000">
            <w:r>
              <w:t>Przeciw: 0 (0%)</w:t>
            </w:r>
          </w:p>
        </w:tc>
        <w:tc>
          <w:tcPr>
            <w:tcW w:w="5400" w:type="dxa"/>
          </w:tcPr>
          <w:p w14:paraId="2DC699E6" w14:textId="77777777" w:rsidR="00C22FBE" w:rsidRDefault="00000000">
            <w:r>
              <w:rPr>
                <w:b/>
              </w:rPr>
              <w:t>Kryterium kwotowe</w:t>
            </w:r>
          </w:p>
          <w:p w14:paraId="370AE7E5" w14:textId="77777777" w:rsidR="00C22FBE" w:rsidRDefault="00000000">
            <w:r>
              <w:t>Za: 103 323,00 zł (100%)</w:t>
            </w:r>
          </w:p>
          <w:p w14:paraId="386EFFC7" w14:textId="77777777" w:rsidR="00C22FBE" w:rsidRDefault="00000000">
            <w:r>
              <w:t>Wymagane do osiągnięcia większości 2/3: 68 882,01 zł</w:t>
            </w:r>
          </w:p>
          <w:p w14:paraId="155748FE" w14:textId="77777777" w:rsidR="00C22FBE" w:rsidRDefault="00000000">
            <w:r>
              <w:rPr>
                <w:b/>
              </w:rPr>
              <w:t>Status: Kryterium spełnione</w:t>
            </w:r>
          </w:p>
          <w:p w14:paraId="5097E7A1" w14:textId="77777777" w:rsidR="00C22FBE" w:rsidRDefault="00000000">
            <w:r>
              <w:rPr>
                <w:noProof/>
              </w:rPr>
              <w:drawing>
                <wp:inline distT="0" distB="0" distL="0" distR="0" wp14:anchorId="6B76E204" wp14:editId="4AC9B66D">
                  <wp:extent cx="3060000" cy="315911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E9DDD88" w14:textId="77777777" w:rsidR="00C22FBE" w:rsidRDefault="00000000">
            <w:r>
              <w:t>Przeciw: 0 zł (0%)</w:t>
            </w:r>
          </w:p>
        </w:tc>
      </w:tr>
    </w:tbl>
    <w:p w14:paraId="332D9B33" w14:textId="77777777" w:rsidR="00C22FBE" w:rsidRDefault="00C22FBE"/>
    <w:p w14:paraId="77A7C126" w14:textId="77777777" w:rsidR="00C22FBE" w:rsidRDefault="00000000">
      <w:r>
        <w:rPr>
          <w:b/>
        </w:rPr>
        <w:t>Lista wierzycieli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04"/>
        <w:gridCol w:w="1810"/>
        <w:gridCol w:w="1623"/>
        <w:gridCol w:w="1591"/>
        <w:gridCol w:w="1762"/>
      </w:tblGrid>
      <w:tr w:rsidR="00C22FBE" w14:paraId="779F44D1" w14:textId="77777777">
        <w:tc>
          <w:tcPr>
            <w:tcW w:w="5669" w:type="dxa"/>
            <w:shd w:val="clear" w:color="auto" w:fill="00685E"/>
          </w:tcPr>
          <w:p w14:paraId="79A9D5E6" w14:textId="77777777" w:rsidR="00C22FBE" w:rsidRDefault="00000000">
            <w:r>
              <w:rPr>
                <w:b/>
                <w:color w:val="FFFFFF"/>
              </w:rPr>
              <w:t>Wierzyciel</w:t>
            </w:r>
          </w:p>
        </w:tc>
        <w:tc>
          <w:tcPr>
            <w:tcW w:w="1701" w:type="dxa"/>
            <w:shd w:val="clear" w:color="auto" w:fill="00685E"/>
          </w:tcPr>
          <w:p w14:paraId="037FC594" w14:textId="77777777" w:rsidR="00C22FBE" w:rsidRDefault="00000000">
            <w:pPr>
              <w:jc w:val="right"/>
            </w:pPr>
            <w:r>
              <w:rPr>
                <w:b/>
                <w:color w:val="FFFFFF"/>
              </w:rPr>
              <w:t>Siła głosu</w:t>
            </w:r>
          </w:p>
        </w:tc>
        <w:tc>
          <w:tcPr>
            <w:tcW w:w="850" w:type="dxa"/>
            <w:shd w:val="clear" w:color="auto" w:fill="00685E"/>
          </w:tcPr>
          <w:p w14:paraId="57CB7D54" w14:textId="77777777" w:rsidR="00C22FBE" w:rsidRDefault="00000000">
            <w:r>
              <w:rPr>
                <w:b/>
                <w:color w:val="FFFFFF"/>
              </w:rPr>
              <w:t>Siła głosu (%)</w:t>
            </w:r>
          </w:p>
        </w:tc>
        <w:tc>
          <w:tcPr>
            <w:tcW w:w="1134" w:type="dxa"/>
            <w:shd w:val="clear" w:color="auto" w:fill="00685E"/>
          </w:tcPr>
          <w:p w14:paraId="3493F30E" w14:textId="77777777" w:rsidR="00C22FBE" w:rsidRDefault="00000000">
            <w:r>
              <w:rPr>
                <w:b/>
                <w:color w:val="FFFFFF"/>
              </w:rPr>
              <w:t>Głos</w:t>
            </w:r>
          </w:p>
        </w:tc>
        <w:tc>
          <w:tcPr>
            <w:tcW w:w="1134" w:type="dxa"/>
            <w:shd w:val="clear" w:color="auto" w:fill="00685E"/>
          </w:tcPr>
          <w:p w14:paraId="2AE03D60" w14:textId="77777777" w:rsidR="00C22FBE" w:rsidRDefault="00000000">
            <w:r>
              <w:rPr>
                <w:b/>
                <w:color w:val="FFFFFF"/>
              </w:rPr>
              <w:t>Szczegóły głosu</w:t>
            </w:r>
          </w:p>
        </w:tc>
      </w:tr>
      <w:tr w:rsidR="00C22FBE" w14:paraId="7F29DA8C" w14:textId="77777777">
        <w:tc>
          <w:tcPr>
            <w:tcW w:w="2160" w:type="dxa"/>
          </w:tcPr>
          <w:p w14:paraId="342007ED" w14:textId="77777777" w:rsidR="00C22FBE" w:rsidRDefault="00000000">
            <w:r>
              <w:t>PKO LEASING S.A., Warszawa</w:t>
            </w:r>
          </w:p>
        </w:tc>
        <w:tc>
          <w:tcPr>
            <w:tcW w:w="2160" w:type="dxa"/>
          </w:tcPr>
          <w:p w14:paraId="4BDCEEA1" w14:textId="77777777" w:rsidR="00C22FBE" w:rsidRDefault="00000000">
            <w:pPr>
              <w:jc w:val="right"/>
            </w:pPr>
            <w:r>
              <w:t>103 323,00 zł</w:t>
            </w:r>
          </w:p>
        </w:tc>
        <w:tc>
          <w:tcPr>
            <w:tcW w:w="2160" w:type="dxa"/>
          </w:tcPr>
          <w:p w14:paraId="75BB8707" w14:textId="77777777" w:rsidR="00C22FBE" w:rsidRDefault="00000000">
            <w:r>
              <w:t>100%</w:t>
            </w:r>
          </w:p>
        </w:tc>
        <w:tc>
          <w:tcPr>
            <w:tcW w:w="2160" w:type="dxa"/>
          </w:tcPr>
          <w:p w14:paraId="36381101" w14:textId="77777777" w:rsidR="00C22FBE" w:rsidRDefault="00000000">
            <w:r>
              <w:t>✅ Za</w:t>
            </w:r>
          </w:p>
        </w:tc>
        <w:tc>
          <w:tcPr>
            <w:tcW w:w="2160" w:type="dxa"/>
          </w:tcPr>
          <w:p w14:paraId="1FF117C6" w14:textId="77777777" w:rsidR="00C22FBE" w:rsidRDefault="00C22FBE"/>
        </w:tc>
      </w:tr>
    </w:tbl>
    <w:p w14:paraId="03B221FA" w14:textId="77777777" w:rsidR="00C22FBE" w:rsidRDefault="00C22FBE"/>
    <w:p w14:paraId="63CE23B3" w14:textId="77777777" w:rsidR="00C22FBE" w:rsidRDefault="00000000">
      <w:r>
        <w:br w:type="page"/>
      </w:r>
    </w:p>
    <w:p w14:paraId="763C667C" w14:textId="77777777" w:rsidR="00C22FBE" w:rsidRDefault="00000000">
      <w:pPr>
        <w:pStyle w:val="Heading1"/>
        <w:spacing w:after="120"/>
      </w:pPr>
      <w:r>
        <w:lastRenderedPageBreak/>
        <w:t>Grupa 5: Do 200 tys.</w:t>
      </w:r>
    </w:p>
    <w:p w14:paraId="0634A8CC" w14:textId="77777777" w:rsidR="00C22FBE" w:rsidRDefault="00000000">
      <w:r>
        <w:t>Wierzyciele którym przysługuje wierzytelność na dzień układowy w kwocie niższej niż 200.000,00 zł niezaliczeni do innych grup wierzycieli.</w:t>
      </w:r>
    </w:p>
    <w:p w14:paraId="2D3C566E" w14:textId="77777777" w:rsidR="00C22FBE" w:rsidRDefault="00C22FBE"/>
    <w:tbl>
      <w:tblPr>
        <w:tblW w:w="0" w:type="auto"/>
        <w:tblLook w:val="04A0" w:firstRow="1" w:lastRow="0" w:firstColumn="1" w:lastColumn="0" w:noHBand="0" w:noVBand="1"/>
      </w:tblPr>
      <w:tblGrid>
        <w:gridCol w:w="5400"/>
        <w:gridCol w:w="5400"/>
      </w:tblGrid>
      <w:tr w:rsidR="00C22FBE" w14:paraId="6DA9E614" w14:textId="77777777">
        <w:tc>
          <w:tcPr>
            <w:tcW w:w="5400" w:type="dxa"/>
          </w:tcPr>
          <w:p w14:paraId="7ECC75E6" w14:textId="77777777" w:rsidR="00C22FBE" w:rsidRDefault="00000000">
            <w:r>
              <w:rPr>
                <w:b/>
              </w:rPr>
              <w:t>Kryterium osobowe</w:t>
            </w:r>
          </w:p>
          <w:p w14:paraId="04D404C0" w14:textId="77777777" w:rsidR="00C22FBE" w:rsidRDefault="00000000">
            <w:r>
              <w:t>Za: 0 (0%)</w:t>
            </w:r>
          </w:p>
          <w:p w14:paraId="54C6E788" w14:textId="77777777" w:rsidR="00C22FBE" w:rsidRDefault="00000000">
            <w:r>
              <w:t>Wymagane do osiągnięcia większości 50%: 1</w:t>
            </w:r>
          </w:p>
          <w:p w14:paraId="6DAD2592" w14:textId="77777777" w:rsidR="00C22FBE" w:rsidRDefault="00000000">
            <w:r>
              <w:rPr>
                <w:b/>
              </w:rPr>
              <w:t>Status: Kryterium niespełnione</w:t>
            </w:r>
          </w:p>
          <w:p w14:paraId="268731B9" w14:textId="77777777" w:rsidR="00C22FBE" w:rsidRDefault="00000000">
            <w:r>
              <w:rPr>
                <w:noProof/>
              </w:rPr>
              <w:drawing>
                <wp:inline distT="0" distB="0" distL="0" distR="0" wp14:anchorId="376860EB" wp14:editId="3A5AF1BC">
                  <wp:extent cx="3060000" cy="315911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8B5E66" w14:textId="77777777" w:rsidR="00C22FBE" w:rsidRDefault="00000000">
            <w:r>
              <w:t>Przeciw: 0 (100%)</w:t>
            </w:r>
          </w:p>
        </w:tc>
        <w:tc>
          <w:tcPr>
            <w:tcW w:w="5400" w:type="dxa"/>
          </w:tcPr>
          <w:p w14:paraId="1CB140E1" w14:textId="77777777" w:rsidR="00C22FBE" w:rsidRDefault="00000000">
            <w:r>
              <w:rPr>
                <w:b/>
              </w:rPr>
              <w:t>Kryterium kwotowe</w:t>
            </w:r>
          </w:p>
          <w:p w14:paraId="5712B8B3" w14:textId="77777777" w:rsidR="00C22FBE" w:rsidRDefault="00000000">
            <w:r>
              <w:t>Za: 0 zł (0%)</w:t>
            </w:r>
          </w:p>
          <w:p w14:paraId="04449761" w14:textId="77777777" w:rsidR="00C22FBE" w:rsidRDefault="00000000">
            <w:r>
              <w:t>Wymagane do osiągnięcia większości 2/3: 0,01 zł</w:t>
            </w:r>
          </w:p>
          <w:p w14:paraId="56700A60" w14:textId="77777777" w:rsidR="00C22FBE" w:rsidRDefault="00000000">
            <w:r>
              <w:rPr>
                <w:b/>
              </w:rPr>
              <w:t>Status: Kryterium niespełnione</w:t>
            </w:r>
          </w:p>
          <w:p w14:paraId="234AF02D" w14:textId="77777777" w:rsidR="00C22FBE" w:rsidRDefault="00000000">
            <w:r>
              <w:rPr>
                <w:noProof/>
              </w:rPr>
              <w:drawing>
                <wp:inline distT="0" distB="0" distL="0" distR="0" wp14:anchorId="4DF89562" wp14:editId="5487B382">
                  <wp:extent cx="3060000" cy="315911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0000" cy="315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ECA606" w14:textId="77777777" w:rsidR="00C22FBE" w:rsidRDefault="00000000">
            <w:r>
              <w:t>Przeciw: 0 zł (100%)</w:t>
            </w:r>
          </w:p>
        </w:tc>
      </w:tr>
    </w:tbl>
    <w:p w14:paraId="29EC8C6C" w14:textId="77777777" w:rsidR="00C22FBE" w:rsidRDefault="00C22FBE"/>
    <w:sectPr w:rsidR="00C22FBE" w:rsidSect="00D13451">
      <w:headerReference w:type="even" r:id="rId19"/>
      <w:footerReference w:type="even" r:id="rId20"/>
      <w:footerReference w:type="default" r:id="rId21"/>
      <w:pgSz w:w="12240" w:h="15840"/>
      <w:pgMar w:top="720" w:right="720" w:bottom="720" w:left="72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D40F1" w14:textId="77777777" w:rsidR="008233F3" w:rsidRDefault="008233F3" w:rsidP="00DB2843">
      <w:pPr>
        <w:spacing w:after="0" w:line="240" w:lineRule="auto"/>
      </w:pPr>
      <w:r>
        <w:separator/>
      </w:r>
    </w:p>
  </w:endnote>
  <w:endnote w:type="continuationSeparator" w:id="0">
    <w:p w14:paraId="5F1AF8A6" w14:textId="77777777" w:rsidR="008233F3" w:rsidRDefault="008233F3" w:rsidP="00DB2843">
      <w:pPr>
        <w:spacing w:after="0" w:line="240" w:lineRule="auto"/>
      </w:pPr>
      <w:r>
        <w:continuationSeparator/>
      </w:r>
    </w:p>
  </w:endnote>
  <w:endnote w:type="continuationNotice" w:id="1">
    <w:p w14:paraId="2E938805" w14:textId="77777777" w:rsidR="008233F3" w:rsidRDefault="008233F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649197831"/>
      <w:docPartObj>
        <w:docPartGallery w:val="Page Numbers (Bottom of Page)"/>
        <w:docPartUnique/>
      </w:docPartObj>
    </w:sdtPr>
    <w:sdtContent>
      <w:p w14:paraId="1DAD7466" w14:textId="77777777" w:rsidR="00DB37D7" w:rsidRDefault="00DB37D7" w:rsidP="00EA40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2573A9C" w14:textId="77777777" w:rsidR="00B43868" w:rsidRDefault="00B43868" w:rsidP="00DB37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52379179" w:displacedByCustomXml="next"/>
  <w:bookmarkStart w:id="1" w:name="_Hlk31711706" w:displacedByCustomXml="next"/>
  <w:bookmarkStart w:id="2" w:name="_Hlk31804809" w:displacedByCustomXml="next"/>
  <w:sdt>
    <w:sdtPr>
      <w:rPr>
        <w:rStyle w:val="PageNumber"/>
      </w:rPr>
      <w:id w:val="-1567565408"/>
      <w:docPartObj>
        <w:docPartGallery w:val="Page Numbers (Bottom of Page)"/>
        <w:docPartUnique/>
      </w:docPartObj>
    </w:sdtPr>
    <w:sdtContent>
      <w:p w14:paraId="7471719A" w14:textId="77777777" w:rsidR="00DB37D7" w:rsidRDefault="00DB37D7" w:rsidP="00EA403A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F2024D2" w14:textId="77777777" w:rsidR="00093788" w:rsidRDefault="00093788" w:rsidP="00DB37D7">
    <w:pPr>
      <w:pStyle w:val="Footer"/>
      <w:ind w:right="360"/>
    </w:pPr>
    <w:r w:rsidRPr="003A0E2F">
      <w:rPr>
        <w:rStyle w:val="normaltextrun"/>
        <w:rFonts w:ascii="Calibri" w:hAnsi="Calibri" w:cs="Calibri"/>
        <w:color w:val="595959" w:themeColor="text1" w:themeTint="A6"/>
        <w:position w:val="2"/>
        <w:sz w:val="14"/>
        <w:szCs w:val="14"/>
      </w:rPr>
      <w:t>Wygenerowano za pomocą</w:t>
    </w:r>
    <w:r w:rsidRPr="003A0E2F">
      <w:rPr>
        <w:rStyle w:val="normaltextrun"/>
        <w:color w:val="7F7F7F" w:themeColor="text1" w:themeTint="80"/>
        <w:position w:val="4"/>
      </w:rPr>
      <w:t> </w:t>
    </w:r>
    <w:r w:rsidRPr="002A5D2A">
      <w:rPr>
        <w:rStyle w:val="eop"/>
        <w:color w:val="808080" w:themeColor="background1" w:themeShade="80"/>
      </w:rPr>
      <w:t> </w:t>
    </w:r>
    <w:bookmarkEnd w:id="0"/>
  </w:p>
  <w:bookmarkEnd w:id="2"/>
  <w:bookmarkEnd w:id="1"/>
  <w:p w14:paraId="4F315A24" w14:textId="77777777" w:rsidR="001A3236" w:rsidRPr="00093788" w:rsidRDefault="00900181" w:rsidP="00093788">
    <w:pPr>
      <w:pStyle w:val="Footer"/>
      <w:ind w:right="360"/>
      <w:rPr>
        <w:rFonts w:ascii="Bookman Old Style" w:hAnsi="Bookman Old Style"/>
      </w:rPr>
    </w:pPr>
    <w:r>
      <w:rPr>
        <w:rFonts w:ascii="Bookman Old Style" w:hAnsi="Bookman Old Style"/>
        <w:noProof/>
      </w:rPr>
      <w:drawing>
        <wp:inline distT="0" distB="0" distL="0" distR="0" wp14:anchorId="236EE1CE" wp14:editId="6FD95B99">
          <wp:extent cx="970731" cy="225425"/>
          <wp:effectExtent l="0" t="0" r="0" b="3175"/>
          <wp:docPr id="2140060262" name="Picture 2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0060262" name="Picture 2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255" cy="25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54351" w14:textId="77777777" w:rsidR="008233F3" w:rsidRDefault="008233F3" w:rsidP="00DB2843">
      <w:pPr>
        <w:spacing w:after="0" w:line="240" w:lineRule="auto"/>
      </w:pPr>
      <w:r>
        <w:separator/>
      </w:r>
    </w:p>
  </w:footnote>
  <w:footnote w:type="continuationSeparator" w:id="0">
    <w:p w14:paraId="0D0AE8D6" w14:textId="77777777" w:rsidR="008233F3" w:rsidRDefault="008233F3" w:rsidP="00DB2843">
      <w:pPr>
        <w:spacing w:after="0" w:line="240" w:lineRule="auto"/>
      </w:pPr>
      <w:r>
        <w:continuationSeparator/>
      </w:r>
    </w:p>
  </w:footnote>
  <w:footnote w:type="continuationNotice" w:id="1">
    <w:p w14:paraId="029CECF3" w14:textId="77777777" w:rsidR="008233F3" w:rsidRDefault="008233F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2082664955"/>
      <w:docPartObj>
        <w:docPartGallery w:val="Page Numbers (Top of Page)"/>
        <w:docPartUnique/>
      </w:docPartObj>
    </w:sdtPr>
    <w:sdtContent>
      <w:p w14:paraId="7748C095" w14:textId="77777777" w:rsidR="00592FFA" w:rsidRDefault="00592FFA" w:rsidP="00CC3973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D10FD2E" w14:textId="77777777" w:rsidR="00B32A76" w:rsidRDefault="00B32A76" w:rsidP="00592FFA">
    <w:pPr>
      <w:pStyle w:val="Header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7653A9"/>
    <w:multiLevelType w:val="singleLevel"/>
    <w:tmpl w:val="E49CDC8C"/>
    <w:lvl w:ilvl="0">
      <w:start w:val="2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7" w15:restartNumberingAfterBreak="0">
    <w:nsid w:val="06D54E6B"/>
    <w:multiLevelType w:val="singleLevel"/>
    <w:tmpl w:val="1766286C"/>
    <w:lvl w:ilvl="0">
      <w:start w:val="3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07F622A1"/>
    <w:multiLevelType w:val="singleLevel"/>
    <w:tmpl w:val="6C767C36"/>
    <w:lvl w:ilvl="0">
      <w:start w:val="5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1E223D44"/>
    <w:multiLevelType w:val="singleLevel"/>
    <w:tmpl w:val="2DD6D784"/>
    <w:lvl w:ilvl="0">
      <w:start w:val="1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36257274"/>
    <w:multiLevelType w:val="singleLevel"/>
    <w:tmpl w:val="6C767C36"/>
    <w:lvl w:ilvl="0">
      <w:start w:val="5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44414014"/>
    <w:multiLevelType w:val="singleLevel"/>
    <w:tmpl w:val="E49CDC8C"/>
    <w:lvl w:ilvl="0">
      <w:start w:val="2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49F17928"/>
    <w:multiLevelType w:val="singleLevel"/>
    <w:tmpl w:val="2DD6D784"/>
    <w:lvl w:ilvl="0">
      <w:start w:val="1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551A0878"/>
    <w:multiLevelType w:val="singleLevel"/>
    <w:tmpl w:val="1766286C"/>
    <w:lvl w:ilvl="0">
      <w:start w:val="3"/>
      <w:numFmt w:val="upperLetter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4" w15:restartNumberingAfterBreak="0">
    <w:nsid w:val="564D16C5"/>
    <w:multiLevelType w:val="singleLevel"/>
    <w:tmpl w:val="56324226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6D290739"/>
    <w:multiLevelType w:val="singleLevel"/>
    <w:tmpl w:val="56324226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num w:numId="1" w16cid:durableId="1848402153">
    <w:abstractNumId w:val="9"/>
  </w:num>
  <w:num w:numId="2" w16cid:durableId="1950119855">
    <w:abstractNumId w:val="11"/>
  </w:num>
  <w:num w:numId="3" w16cid:durableId="552228537">
    <w:abstractNumId w:val="13"/>
  </w:num>
  <w:num w:numId="4" w16cid:durableId="76370403">
    <w:abstractNumId w:val="8"/>
  </w:num>
  <w:num w:numId="5" w16cid:durableId="1553886451">
    <w:abstractNumId w:val="14"/>
  </w:num>
  <w:num w:numId="6" w16cid:durableId="995718555">
    <w:abstractNumId w:val="12"/>
  </w:num>
  <w:num w:numId="7" w16cid:durableId="1671440944">
    <w:abstractNumId w:val="6"/>
  </w:num>
  <w:num w:numId="8" w16cid:durableId="638457808">
    <w:abstractNumId w:val="7"/>
  </w:num>
  <w:num w:numId="9" w16cid:durableId="102652914">
    <w:abstractNumId w:val="10"/>
  </w:num>
  <w:num w:numId="10" w16cid:durableId="31269502">
    <w:abstractNumId w:val="15"/>
  </w:num>
  <w:num w:numId="11" w16cid:durableId="1162502809">
    <w:abstractNumId w:val="5"/>
  </w:num>
  <w:num w:numId="12" w16cid:durableId="825165509">
    <w:abstractNumId w:val="5"/>
  </w:num>
  <w:num w:numId="13" w16cid:durableId="553473233">
    <w:abstractNumId w:val="3"/>
  </w:num>
  <w:num w:numId="14" w16cid:durableId="1565289414">
    <w:abstractNumId w:val="3"/>
  </w:num>
  <w:num w:numId="15" w16cid:durableId="913391887">
    <w:abstractNumId w:val="2"/>
  </w:num>
  <w:num w:numId="16" w16cid:durableId="600065370">
    <w:abstractNumId w:val="2"/>
  </w:num>
  <w:num w:numId="17" w16cid:durableId="282345056">
    <w:abstractNumId w:val="4"/>
  </w:num>
  <w:num w:numId="18" w16cid:durableId="1276057541">
    <w:abstractNumId w:val="4"/>
  </w:num>
  <w:num w:numId="19" w16cid:durableId="839127670">
    <w:abstractNumId w:val="1"/>
  </w:num>
  <w:num w:numId="20" w16cid:durableId="1778018551">
    <w:abstractNumId w:val="1"/>
  </w:num>
  <w:num w:numId="21" w16cid:durableId="2061705368">
    <w:abstractNumId w:val="0"/>
  </w:num>
  <w:num w:numId="22" w16cid:durableId="54776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843"/>
    <w:rsid w:val="0001425A"/>
    <w:rsid w:val="00016951"/>
    <w:rsid w:val="00025AB4"/>
    <w:rsid w:val="00030BB9"/>
    <w:rsid w:val="00036F39"/>
    <w:rsid w:val="00044599"/>
    <w:rsid w:val="00066D70"/>
    <w:rsid w:val="000823C2"/>
    <w:rsid w:val="0009054D"/>
    <w:rsid w:val="00093788"/>
    <w:rsid w:val="000A5E25"/>
    <w:rsid w:val="000B6921"/>
    <w:rsid w:val="00126A35"/>
    <w:rsid w:val="00143250"/>
    <w:rsid w:val="001507CB"/>
    <w:rsid w:val="00154577"/>
    <w:rsid w:val="00155FF2"/>
    <w:rsid w:val="00190D67"/>
    <w:rsid w:val="001A3236"/>
    <w:rsid w:val="001A46DC"/>
    <w:rsid w:val="001E37C0"/>
    <w:rsid w:val="00232246"/>
    <w:rsid w:val="00254231"/>
    <w:rsid w:val="00265FD7"/>
    <w:rsid w:val="00282B4D"/>
    <w:rsid w:val="00291F81"/>
    <w:rsid w:val="002920A9"/>
    <w:rsid w:val="00294DBF"/>
    <w:rsid w:val="002B61E7"/>
    <w:rsid w:val="002F039A"/>
    <w:rsid w:val="00321BE4"/>
    <w:rsid w:val="00333136"/>
    <w:rsid w:val="003540E7"/>
    <w:rsid w:val="003655E6"/>
    <w:rsid w:val="0037144A"/>
    <w:rsid w:val="003842FD"/>
    <w:rsid w:val="003A7E2B"/>
    <w:rsid w:val="003E0149"/>
    <w:rsid w:val="003E53F0"/>
    <w:rsid w:val="003F1063"/>
    <w:rsid w:val="0042187E"/>
    <w:rsid w:val="00423A84"/>
    <w:rsid w:val="0042427B"/>
    <w:rsid w:val="004348DC"/>
    <w:rsid w:val="00460D9E"/>
    <w:rsid w:val="00467337"/>
    <w:rsid w:val="00471444"/>
    <w:rsid w:val="004B7F8B"/>
    <w:rsid w:val="0051287B"/>
    <w:rsid w:val="00516E9B"/>
    <w:rsid w:val="00517F10"/>
    <w:rsid w:val="005237D3"/>
    <w:rsid w:val="0052639C"/>
    <w:rsid w:val="00532B9C"/>
    <w:rsid w:val="005377CF"/>
    <w:rsid w:val="00540D85"/>
    <w:rsid w:val="00544703"/>
    <w:rsid w:val="00554A94"/>
    <w:rsid w:val="00566E96"/>
    <w:rsid w:val="00576550"/>
    <w:rsid w:val="00592FFA"/>
    <w:rsid w:val="005D6F87"/>
    <w:rsid w:val="0060390F"/>
    <w:rsid w:val="00606372"/>
    <w:rsid w:val="00623C25"/>
    <w:rsid w:val="006460E4"/>
    <w:rsid w:val="00671D7A"/>
    <w:rsid w:val="00685590"/>
    <w:rsid w:val="00686CAA"/>
    <w:rsid w:val="006B49B6"/>
    <w:rsid w:val="006D1E74"/>
    <w:rsid w:val="006E1AD3"/>
    <w:rsid w:val="006E7834"/>
    <w:rsid w:val="006F7FBC"/>
    <w:rsid w:val="007100B1"/>
    <w:rsid w:val="00710B62"/>
    <w:rsid w:val="00723017"/>
    <w:rsid w:val="00754275"/>
    <w:rsid w:val="00763DCD"/>
    <w:rsid w:val="00784B2C"/>
    <w:rsid w:val="0078652C"/>
    <w:rsid w:val="00793BE1"/>
    <w:rsid w:val="0079522D"/>
    <w:rsid w:val="007A16AE"/>
    <w:rsid w:val="007C3379"/>
    <w:rsid w:val="007E19DC"/>
    <w:rsid w:val="007E7FA7"/>
    <w:rsid w:val="00817E07"/>
    <w:rsid w:val="008233F3"/>
    <w:rsid w:val="0082606C"/>
    <w:rsid w:val="00845F27"/>
    <w:rsid w:val="00846217"/>
    <w:rsid w:val="008529B2"/>
    <w:rsid w:val="008A2485"/>
    <w:rsid w:val="008D269D"/>
    <w:rsid w:val="008E63C2"/>
    <w:rsid w:val="00900181"/>
    <w:rsid w:val="00935872"/>
    <w:rsid w:val="00951B76"/>
    <w:rsid w:val="009620EE"/>
    <w:rsid w:val="00962747"/>
    <w:rsid w:val="009B17A7"/>
    <w:rsid w:val="009C332E"/>
    <w:rsid w:val="009D1664"/>
    <w:rsid w:val="009F4E6D"/>
    <w:rsid w:val="009F4FBB"/>
    <w:rsid w:val="00A01D7A"/>
    <w:rsid w:val="00A54FD8"/>
    <w:rsid w:val="00A576F4"/>
    <w:rsid w:val="00A65997"/>
    <w:rsid w:val="00A85788"/>
    <w:rsid w:val="00A90C3E"/>
    <w:rsid w:val="00A94792"/>
    <w:rsid w:val="00AE6910"/>
    <w:rsid w:val="00AF2968"/>
    <w:rsid w:val="00AF4497"/>
    <w:rsid w:val="00B1016F"/>
    <w:rsid w:val="00B32A76"/>
    <w:rsid w:val="00B43868"/>
    <w:rsid w:val="00B50015"/>
    <w:rsid w:val="00B7345E"/>
    <w:rsid w:val="00B90643"/>
    <w:rsid w:val="00B9385B"/>
    <w:rsid w:val="00B97475"/>
    <w:rsid w:val="00BE3660"/>
    <w:rsid w:val="00BE4173"/>
    <w:rsid w:val="00C00B3B"/>
    <w:rsid w:val="00C22FBE"/>
    <w:rsid w:val="00C37DFA"/>
    <w:rsid w:val="00C57328"/>
    <w:rsid w:val="00C8456A"/>
    <w:rsid w:val="00C90689"/>
    <w:rsid w:val="00CC64CE"/>
    <w:rsid w:val="00CC6F28"/>
    <w:rsid w:val="00CD4372"/>
    <w:rsid w:val="00CD5ACA"/>
    <w:rsid w:val="00CD6D84"/>
    <w:rsid w:val="00CE1C86"/>
    <w:rsid w:val="00D03B9E"/>
    <w:rsid w:val="00D13451"/>
    <w:rsid w:val="00D15F16"/>
    <w:rsid w:val="00D20B52"/>
    <w:rsid w:val="00D35ED2"/>
    <w:rsid w:val="00D53B3E"/>
    <w:rsid w:val="00D64297"/>
    <w:rsid w:val="00D6515B"/>
    <w:rsid w:val="00D706F5"/>
    <w:rsid w:val="00D9291D"/>
    <w:rsid w:val="00DA5733"/>
    <w:rsid w:val="00DB2843"/>
    <w:rsid w:val="00DB37D7"/>
    <w:rsid w:val="00DC092C"/>
    <w:rsid w:val="00DC15DC"/>
    <w:rsid w:val="00DE04A9"/>
    <w:rsid w:val="00DF2814"/>
    <w:rsid w:val="00E32988"/>
    <w:rsid w:val="00E50675"/>
    <w:rsid w:val="00E51E4E"/>
    <w:rsid w:val="00E5708D"/>
    <w:rsid w:val="00E61F19"/>
    <w:rsid w:val="00E74DF8"/>
    <w:rsid w:val="00E978B8"/>
    <w:rsid w:val="00E97B58"/>
    <w:rsid w:val="00EA5748"/>
    <w:rsid w:val="00EE61E6"/>
    <w:rsid w:val="00EF0B24"/>
    <w:rsid w:val="00F25EEA"/>
    <w:rsid w:val="00F357B9"/>
    <w:rsid w:val="00F37CC4"/>
    <w:rsid w:val="00F407AE"/>
    <w:rsid w:val="00F8136A"/>
    <w:rsid w:val="00F824CC"/>
    <w:rsid w:val="00F94AE5"/>
    <w:rsid w:val="00FA21D1"/>
    <w:rsid w:val="00FB7DBA"/>
    <w:rsid w:val="00FD2ADC"/>
    <w:rsid w:val="21070A05"/>
    <w:rsid w:val="676223A1"/>
    <w:rsid w:val="69F5C5B8"/>
    <w:rsid w:val="6ED5F5C6"/>
    <w:rsid w:val="73C88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CDB8C0"/>
  <w15:chartTrackingRefBased/>
  <w15:docId w15:val="{D22B0FD2-F2AC-4854-B5C0-476434441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2FF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FF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92FF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7"/>
    </w:pPr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21D1"/>
    <w:pPr>
      <w:keepNext/>
      <w:keepLines/>
      <w:spacing w:before="200" w:after="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2843"/>
  </w:style>
  <w:style w:type="paragraph" w:styleId="Footer">
    <w:name w:val="footer"/>
    <w:basedOn w:val="Normal"/>
    <w:link w:val="FooterChar"/>
    <w:uiPriority w:val="99"/>
    <w:unhideWhenUsed/>
    <w:rsid w:val="00DB2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2843"/>
  </w:style>
  <w:style w:type="character" w:customStyle="1" w:styleId="normaltextrun">
    <w:name w:val="normaltextrun"/>
    <w:basedOn w:val="DefaultParagraphFont"/>
    <w:rsid w:val="00DB2843"/>
  </w:style>
  <w:style w:type="character" w:customStyle="1" w:styleId="eop">
    <w:name w:val="eop"/>
    <w:basedOn w:val="DefaultParagraphFont"/>
    <w:rsid w:val="00DB2843"/>
  </w:style>
  <w:style w:type="table" w:styleId="TableGrid">
    <w:name w:val="Table Grid"/>
    <w:basedOn w:val="TableNormal"/>
    <w:uiPriority w:val="59"/>
    <w:rsid w:val="007952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1287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87B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54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592FF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92F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92FF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92FFA"/>
  </w:style>
  <w:style w:type="table" w:styleId="GridTable5Dark-Accent5">
    <w:name w:val="Grid Table 5 Dark Accent 5"/>
    <w:basedOn w:val="TableNormal"/>
    <w:uiPriority w:val="50"/>
    <w:rsid w:val="00D9291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GridTable4-Accent1">
    <w:name w:val="Grid Table 4 Accent 1"/>
    <w:basedOn w:val="TableNormal"/>
    <w:uiPriority w:val="49"/>
    <w:rsid w:val="00D9291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FA21D1"/>
    <w:pPr>
      <w:spacing w:after="120" w:line="276" w:lineRule="auto"/>
    </w:pPr>
    <w:rPr>
      <w:rFonts w:eastAsiaTheme="minorEastAsia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FA21D1"/>
    <w:rPr>
      <w:rFonts w:eastAsiaTheme="minorEastAsia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FA21D1"/>
    <w:pPr>
      <w:spacing w:after="120" w:line="480" w:lineRule="auto"/>
    </w:pPr>
    <w:rPr>
      <w:rFonts w:eastAsiaTheme="minorEastAsia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FA21D1"/>
    <w:rPr>
      <w:rFonts w:eastAsiaTheme="minorEastAsia"/>
      <w:lang w:val="en-US"/>
    </w:rPr>
  </w:style>
  <w:style w:type="paragraph" w:styleId="BodyText3">
    <w:name w:val="Body Text 3"/>
    <w:basedOn w:val="Normal"/>
    <w:link w:val="BodyText3Char"/>
    <w:uiPriority w:val="99"/>
    <w:unhideWhenUsed/>
    <w:rsid w:val="00FA21D1"/>
    <w:pPr>
      <w:spacing w:after="120" w:line="276" w:lineRule="auto"/>
    </w:pPr>
    <w:rPr>
      <w:rFonts w:eastAsiaTheme="minorEastAsia"/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FA21D1"/>
    <w:rPr>
      <w:rFonts w:eastAsiaTheme="minorEastAsia"/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FA21D1"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A21D1"/>
    <w:pPr>
      <w:spacing w:after="200" w:line="240" w:lineRule="auto"/>
    </w:pPr>
    <w:rPr>
      <w:rFonts w:eastAsiaTheme="minorEastAsia"/>
      <w:b/>
      <w:bCs/>
      <w:color w:val="4472C4" w:themeColor="accent1"/>
      <w:sz w:val="18"/>
      <w:szCs w:val="18"/>
      <w:lang w:val="en-US"/>
    </w:rPr>
  </w:style>
  <w:style w:type="table" w:styleId="ColourfulGrid">
    <w:name w:val="Colorful Grid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</w:rPr>
      <w:tblPr/>
      <w:tcPr>
        <w:shd w:val="clear" w:color="auto" w:fill="B4C6E7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1" w:themeFillShade="BF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</w:rPr>
      <w:tblPr/>
      <w:tcPr>
        <w:shd w:val="clear" w:color="auto" w:fill="BDD6EE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5" w:themeFillShade="BF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urfulList">
    <w:name w:val="Colorful List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17CC1" w:themeFill="accent5" w:themeFillShade="CC"/>
      </w:tcPr>
    </w:tblStylePr>
    <w:tblStylePr w:type="lastRow">
      <w:rPr>
        <w:b/>
        <w:bCs/>
        <w:color w:val="317CC1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urfulShading">
    <w:name w:val="Colorful Shading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5" w:themeShade="99"/>
          <w:insideV w:val="nil"/>
        </w:tcBorders>
        <w:shd w:val="clear" w:color="auto" w:fill="255D9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5" w:themeFillShade="99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ADCCEA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5B9BD5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DarkList">
    <w:name w:val="Dark List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FA21D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character" w:styleId="Emphasis">
    <w:name w:val="Emphasis"/>
    <w:basedOn w:val="DefaultParagraphFont"/>
    <w:uiPriority w:val="20"/>
    <w:qFormat/>
    <w:rsid w:val="00FA21D1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21D1"/>
    <w:rPr>
      <w:rFonts w:asciiTheme="majorHAnsi" w:eastAsiaTheme="majorEastAsia" w:hAnsiTheme="majorHAnsi" w:cstheme="majorBidi"/>
      <w:b/>
      <w:bCs/>
      <w:i/>
      <w:iCs/>
      <w:color w:val="4472C4" w:themeColor="accent1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21D1"/>
    <w:rPr>
      <w:rFonts w:asciiTheme="majorHAnsi" w:eastAsiaTheme="majorEastAsia" w:hAnsiTheme="majorHAnsi" w:cstheme="majorBidi"/>
      <w:color w:val="1F3763" w:themeColor="accent1" w:themeShade="7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21D1"/>
    <w:rPr>
      <w:rFonts w:asciiTheme="majorHAnsi" w:eastAsiaTheme="majorEastAsia" w:hAnsiTheme="majorHAnsi" w:cstheme="majorBidi"/>
      <w:i/>
      <w:iCs/>
      <w:color w:val="1F3763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21D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21D1"/>
    <w:rPr>
      <w:rFonts w:asciiTheme="majorHAnsi" w:eastAsiaTheme="majorEastAsia" w:hAnsiTheme="majorHAnsi" w:cstheme="majorBidi"/>
      <w:color w:val="4472C4" w:themeColor="accent1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21D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character" w:styleId="IntenseEmphasis">
    <w:name w:val="Intense Emphasis"/>
    <w:basedOn w:val="DefaultParagraphFont"/>
    <w:uiPriority w:val="21"/>
    <w:qFormat/>
    <w:rsid w:val="00FA21D1"/>
    <w:rPr>
      <w:b/>
      <w:bCs/>
      <w:i/>
      <w:iCs/>
      <w:color w:val="4472C4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21D1"/>
    <w:pPr>
      <w:pBdr>
        <w:bottom w:val="single" w:sz="4" w:space="4" w:color="4472C4" w:themeColor="accent1"/>
      </w:pBdr>
      <w:spacing w:before="200" w:after="280" w:line="276" w:lineRule="auto"/>
      <w:ind w:left="936" w:right="936"/>
    </w:pPr>
    <w:rPr>
      <w:rFonts w:eastAsiaTheme="minorEastAsia"/>
      <w:b/>
      <w:bCs/>
      <w:i/>
      <w:iCs/>
      <w:color w:val="4472C4" w:themeColor="accent1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21D1"/>
    <w:rPr>
      <w:rFonts w:eastAsiaTheme="minorEastAsia"/>
      <w:b/>
      <w:bCs/>
      <w:i/>
      <w:iCs/>
      <w:color w:val="4472C4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FA21D1"/>
    <w:rPr>
      <w:b/>
      <w:bCs/>
      <w:smallCaps/>
      <w:color w:val="ED7D31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rsid w:val="00FA21D1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A21D1"/>
    <w:pPr>
      <w:spacing w:after="0" w:line="240" w:lineRule="auto"/>
    </w:pPr>
    <w:rPr>
      <w:rFonts w:eastAsiaTheme="minorEastAsia"/>
      <w:color w:val="2F5496" w:themeColor="accent1" w:themeShade="BF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A21D1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A21D1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A21D1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A21D1"/>
    <w:pPr>
      <w:spacing w:after="0" w:line="240" w:lineRule="auto"/>
    </w:pPr>
    <w:rPr>
      <w:rFonts w:eastAsiaTheme="minorEastAsia"/>
      <w:color w:val="2E74B5" w:themeColor="accent5" w:themeShade="BF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A21D1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List">
    <w:name w:val="List"/>
    <w:basedOn w:val="Normal"/>
    <w:uiPriority w:val="99"/>
    <w:unhideWhenUsed/>
    <w:rsid w:val="00FA21D1"/>
    <w:pPr>
      <w:spacing w:after="200" w:line="276" w:lineRule="auto"/>
      <w:ind w:left="360" w:hanging="360"/>
      <w:contextualSpacing/>
    </w:pPr>
    <w:rPr>
      <w:rFonts w:eastAsiaTheme="minorEastAsia"/>
      <w:lang w:val="en-US"/>
    </w:rPr>
  </w:style>
  <w:style w:type="paragraph" w:styleId="List2">
    <w:name w:val="List 2"/>
    <w:basedOn w:val="Normal"/>
    <w:uiPriority w:val="99"/>
    <w:unhideWhenUsed/>
    <w:rsid w:val="00FA21D1"/>
    <w:pPr>
      <w:spacing w:after="200" w:line="276" w:lineRule="auto"/>
      <w:ind w:left="720" w:hanging="360"/>
      <w:contextualSpacing/>
    </w:pPr>
    <w:rPr>
      <w:rFonts w:eastAsiaTheme="minorEastAsia"/>
      <w:lang w:val="en-US"/>
    </w:rPr>
  </w:style>
  <w:style w:type="paragraph" w:styleId="List3">
    <w:name w:val="List 3"/>
    <w:basedOn w:val="Normal"/>
    <w:uiPriority w:val="99"/>
    <w:unhideWhenUsed/>
    <w:rsid w:val="00FA21D1"/>
    <w:pPr>
      <w:spacing w:after="200" w:line="276" w:lineRule="auto"/>
      <w:ind w:left="1080" w:hanging="360"/>
      <w:contextualSpacing/>
    </w:pPr>
    <w:rPr>
      <w:rFonts w:eastAsiaTheme="minorEastAsia"/>
      <w:lang w:val="en-US"/>
    </w:rPr>
  </w:style>
  <w:style w:type="paragraph" w:styleId="ListBullet">
    <w:name w:val="List Bullet"/>
    <w:basedOn w:val="Normal"/>
    <w:uiPriority w:val="99"/>
    <w:unhideWhenUsed/>
    <w:rsid w:val="00FA21D1"/>
    <w:pPr>
      <w:numPr>
        <w:numId w:val="1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Bullet2">
    <w:name w:val="List Bullet 2"/>
    <w:basedOn w:val="Normal"/>
    <w:uiPriority w:val="99"/>
    <w:unhideWhenUsed/>
    <w:rsid w:val="00FA21D1"/>
    <w:pPr>
      <w:numPr>
        <w:numId w:val="14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Bullet3">
    <w:name w:val="List Bullet 3"/>
    <w:basedOn w:val="Normal"/>
    <w:uiPriority w:val="99"/>
    <w:unhideWhenUsed/>
    <w:rsid w:val="00FA21D1"/>
    <w:pPr>
      <w:numPr>
        <w:numId w:val="16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Continue">
    <w:name w:val="List Continue"/>
    <w:basedOn w:val="Normal"/>
    <w:uiPriority w:val="99"/>
    <w:unhideWhenUsed/>
    <w:rsid w:val="00FA21D1"/>
    <w:pPr>
      <w:spacing w:after="120" w:line="276" w:lineRule="auto"/>
      <w:ind w:left="360"/>
      <w:contextualSpacing/>
    </w:pPr>
    <w:rPr>
      <w:rFonts w:eastAsiaTheme="minorEastAsia"/>
      <w:lang w:val="en-US"/>
    </w:rPr>
  </w:style>
  <w:style w:type="paragraph" w:styleId="ListContinue2">
    <w:name w:val="List Continue 2"/>
    <w:basedOn w:val="Normal"/>
    <w:uiPriority w:val="99"/>
    <w:unhideWhenUsed/>
    <w:rsid w:val="00FA21D1"/>
    <w:pPr>
      <w:spacing w:after="120" w:line="276" w:lineRule="auto"/>
      <w:ind w:left="720"/>
      <w:contextualSpacing/>
    </w:pPr>
    <w:rPr>
      <w:rFonts w:eastAsiaTheme="minorEastAsia"/>
      <w:lang w:val="en-US"/>
    </w:rPr>
  </w:style>
  <w:style w:type="paragraph" w:styleId="ListContinue3">
    <w:name w:val="List Continue 3"/>
    <w:basedOn w:val="Normal"/>
    <w:uiPriority w:val="99"/>
    <w:unhideWhenUsed/>
    <w:rsid w:val="00FA21D1"/>
    <w:pPr>
      <w:spacing w:after="120" w:line="276" w:lineRule="auto"/>
      <w:ind w:left="1080"/>
      <w:contextualSpacing/>
    </w:pPr>
    <w:rPr>
      <w:rFonts w:eastAsiaTheme="minorEastAsia"/>
      <w:lang w:val="en-US"/>
    </w:rPr>
  </w:style>
  <w:style w:type="paragraph" w:styleId="ListNumber">
    <w:name w:val="List Number"/>
    <w:basedOn w:val="Normal"/>
    <w:uiPriority w:val="99"/>
    <w:unhideWhenUsed/>
    <w:rsid w:val="00FA21D1"/>
    <w:pPr>
      <w:numPr>
        <w:numId w:val="18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Number2">
    <w:name w:val="List Number 2"/>
    <w:basedOn w:val="Normal"/>
    <w:uiPriority w:val="99"/>
    <w:unhideWhenUsed/>
    <w:rsid w:val="00FA21D1"/>
    <w:pPr>
      <w:numPr>
        <w:numId w:val="20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Number3">
    <w:name w:val="List Number 3"/>
    <w:basedOn w:val="Normal"/>
    <w:uiPriority w:val="99"/>
    <w:unhideWhenUsed/>
    <w:rsid w:val="00FA21D1"/>
    <w:pPr>
      <w:numPr>
        <w:numId w:val="22"/>
      </w:numPr>
      <w:spacing w:after="200" w:line="276" w:lineRule="auto"/>
      <w:contextualSpacing/>
    </w:pPr>
    <w:rPr>
      <w:rFonts w:eastAsiaTheme="minorEastAsia"/>
      <w:lang w:val="en-US"/>
    </w:rPr>
  </w:style>
  <w:style w:type="paragraph" w:styleId="ListParagraph">
    <w:name w:val="List Paragraph"/>
    <w:basedOn w:val="Normal"/>
    <w:uiPriority w:val="34"/>
    <w:qFormat/>
    <w:rsid w:val="00FA21D1"/>
    <w:pPr>
      <w:spacing w:after="200" w:line="276" w:lineRule="auto"/>
      <w:ind w:left="720"/>
      <w:contextualSpacing/>
    </w:pPr>
    <w:rPr>
      <w:rFonts w:eastAsiaTheme="minorEastAsia"/>
      <w:lang w:val="en-US"/>
    </w:rPr>
  </w:style>
  <w:style w:type="paragraph" w:styleId="MacroText">
    <w:name w:val="macro"/>
    <w:link w:val="MacroTextChar"/>
    <w:uiPriority w:val="99"/>
    <w:unhideWhenUsed/>
    <w:rsid w:val="00FA21D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rsid w:val="00FA21D1"/>
    <w:rPr>
      <w:rFonts w:ascii="Courier" w:eastAsiaTheme="minorEastAsia" w:hAnsi="Courier"/>
      <w:sz w:val="20"/>
      <w:szCs w:val="20"/>
      <w:lang w:val="en-US"/>
    </w:rPr>
  </w:style>
  <w:style w:type="table" w:styleId="MediumGrid1">
    <w:name w:val="Medium Grid 1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  <w:insideV w:val="single" w:sz="8" w:space="0" w:color="7295D2" w:themeColor="accent1" w:themeTint="BF"/>
      </w:tblBorders>
    </w:tblPr>
    <w:tcPr>
      <w:shd w:val="clear" w:color="auto" w:fill="D0DBF0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shd w:val="clear" w:color="auto" w:fill="A1B8E1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cPr>
      <w:shd w:val="clear" w:color="auto" w:fill="D0DBF0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1" w:themeFillTint="33"/>
      </w:tcPr>
    </w:tblStylePr>
    <w:tblStylePr w:type="band1Vert">
      <w:tblPr/>
      <w:tcPr>
        <w:shd w:val="clear" w:color="auto" w:fill="A1B8E1" w:themeFill="accent1" w:themeFillTint="7F"/>
      </w:tcPr>
    </w:tblStylePr>
    <w:tblStylePr w:type="band1Horz">
      <w:tblPr/>
      <w:tcPr>
        <w:tcBorders>
          <w:insideH w:val="single" w:sz="6" w:space="0" w:color="4472C4" w:themeColor="accent1"/>
          <w:insideV w:val="single" w:sz="6" w:space="0" w:color="4472C4" w:themeColor="accent1"/>
        </w:tcBorders>
        <w:shd w:val="clear" w:color="auto" w:fill="A1B8E1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FA21D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A21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1" w:themeTint="BF"/>
        <w:left w:val="single" w:sz="8" w:space="0" w:color="7295D2" w:themeColor="accent1" w:themeTint="BF"/>
        <w:bottom w:val="single" w:sz="8" w:space="0" w:color="7295D2" w:themeColor="accent1" w:themeTint="BF"/>
        <w:right w:val="single" w:sz="8" w:space="0" w:color="7295D2" w:themeColor="accent1" w:themeTint="BF"/>
        <w:insideH w:val="single" w:sz="8" w:space="0" w:color="7295D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1" w:themeTint="BF"/>
          <w:left w:val="single" w:sz="8" w:space="0" w:color="7295D2" w:themeColor="accent1" w:themeTint="BF"/>
          <w:bottom w:val="single" w:sz="8" w:space="0" w:color="7295D2" w:themeColor="accent1" w:themeTint="BF"/>
          <w:right w:val="single" w:sz="8" w:space="0" w:color="7295D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A21D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FA21D1"/>
    <w:pPr>
      <w:spacing w:after="0" w:line="240" w:lineRule="auto"/>
    </w:pPr>
    <w:rPr>
      <w:rFonts w:eastAsiaTheme="minorEastAsia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FA21D1"/>
    <w:pPr>
      <w:spacing w:after="200" w:line="276" w:lineRule="auto"/>
    </w:pPr>
    <w:rPr>
      <w:rFonts w:eastAsiaTheme="minorEastAsia"/>
      <w:i/>
      <w:iCs/>
      <w:color w:val="000000" w:themeColor="text1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A21D1"/>
    <w:rPr>
      <w:rFonts w:eastAsiaTheme="minorEastAsia"/>
      <w:i/>
      <w:iCs/>
      <w:color w:val="000000" w:themeColor="text1"/>
      <w:lang w:val="en-US"/>
    </w:rPr>
  </w:style>
  <w:style w:type="character" w:styleId="Strong">
    <w:name w:val="Strong"/>
    <w:basedOn w:val="DefaultParagraphFont"/>
    <w:uiPriority w:val="22"/>
    <w:qFormat/>
    <w:rsid w:val="00FA21D1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FA21D1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A21D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val="en-US"/>
    </w:rPr>
  </w:style>
  <w:style w:type="character" w:styleId="SubtleEmphasis">
    <w:name w:val="Subtle Emphasis"/>
    <w:basedOn w:val="DefaultParagraphFont"/>
    <w:uiPriority w:val="19"/>
    <w:qFormat/>
    <w:rsid w:val="00FA21D1"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qFormat/>
    <w:rsid w:val="00FA21D1"/>
    <w:rPr>
      <w:smallCaps/>
      <w:color w:val="ED7D31" w:themeColor="accent2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FA21D1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A21D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A21D1"/>
    <w:pPr>
      <w:spacing w:before="480" w:line="276" w:lineRule="auto"/>
      <w:outlineLvl w:val="9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2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3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61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84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1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7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16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29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6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26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03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7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2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1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36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71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11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0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27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eview xmlns="df297aa4-7c96-42a0-8fce-d4074f5f0c91">
      <Url xsi:nil="true"/>
      <Description xsi:nil="true"/>
    </Preview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7F02A244202543AB86B94E0BF9A9FE" ma:contentTypeVersion="14" ma:contentTypeDescription="Utwórz nowy dokument." ma:contentTypeScope="" ma:versionID="5b5701d5dc2a22a32735f0c43c33cd81">
  <xsd:schema xmlns:xsd="http://www.w3.org/2001/XMLSchema" xmlns:xs="http://www.w3.org/2001/XMLSchema" xmlns:p="http://schemas.microsoft.com/office/2006/metadata/properties" xmlns:ns2="df297aa4-7c96-42a0-8fce-d4074f5f0c91" xmlns:ns3="1f7ed102-fe84-4368-81a0-8af5ed724bff" targetNamespace="http://schemas.microsoft.com/office/2006/metadata/properties" ma:root="true" ma:fieldsID="e665916debb6639fe323715184275f71" ns2:_="" ns3:_="">
    <xsd:import namespace="df297aa4-7c96-42a0-8fce-d4074f5f0c91"/>
    <xsd:import namespace="1f7ed102-fe84-4368-81a0-8af5ed724bf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Preview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297aa4-7c96-42a0-8fce-d4074f5f0c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Preview" ma:index="20" nillable="true" ma:displayName="Preview" ma:format="Image" ma:internalName="Preview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7ed102-fe84-4368-81a0-8af5ed724bf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DCF080-B17D-D94F-94E6-A8FD523053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3882B2-C141-41D5-ABB8-896B38E4A030}">
  <ds:schemaRefs>
    <ds:schemaRef ds:uri="http://schemas.microsoft.com/office/2006/metadata/properties"/>
    <ds:schemaRef ds:uri="http://schemas.microsoft.com/office/infopath/2007/PartnerControls"/>
    <ds:schemaRef ds:uri="df297aa4-7c96-42a0-8fce-d4074f5f0c91"/>
  </ds:schemaRefs>
</ds:datastoreItem>
</file>

<file path=customXml/itemProps3.xml><?xml version="1.0" encoding="utf-8"?>
<ds:datastoreItem xmlns:ds="http://schemas.openxmlformats.org/officeDocument/2006/customXml" ds:itemID="{2FCAD964-17C6-46B5-8538-3A451D69B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297aa4-7c96-42a0-8fce-d4074f5f0c91"/>
    <ds:schemaRef ds:uri="1f7ed102-fe84-4368-81a0-8af5ed724b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8FC8BF-65C2-41A1-BFB9-53BAC24B4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Solvbot</dc:creator>
  <cp:keywords/>
  <dc:description/>
  <cp:lastModifiedBy>Edyta Kobiela-Chodzyńska</cp:lastModifiedBy>
  <cp:revision>2</cp:revision>
  <dcterms:created xsi:type="dcterms:W3CDTF">2025-05-30T09:08:00Z</dcterms:created>
  <dcterms:modified xsi:type="dcterms:W3CDTF">2025-05-30T09:08:00Z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0x0101003B7F02A244202543AB86B94E0BF9A9FE</vt:lpwstr>
  </property>
</Properties>
</file>