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688F2" w14:textId="77777777" w:rsidR="00282B4D" w:rsidRPr="00FA21D1" w:rsidRDefault="00282B4D" w:rsidP="00B43868">
      <w:pPr>
        <w:rPr>
          <w:lang w:val="ru-RU"/>
        </w:rPr>
      </w:pPr>
    </w:p>
    <w:p w14:paraId="2CA0975D" w14:textId="77777777" w:rsidR="009121EC" w:rsidRPr="00A51E51" w:rsidRDefault="00000000">
      <w:pPr>
        <w:pStyle w:val="Heading8"/>
        <w:jc w:val="right"/>
        <w:rPr>
          <w:lang w:val="pl-PL"/>
        </w:rPr>
      </w:pPr>
      <w:r w:rsidRPr="00A51E51">
        <w:rPr>
          <w:lang w:val="pl-PL"/>
        </w:rPr>
        <w:t>Kędzierzyn-Dolne 30.05.2025</w:t>
      </w:r>
    </w:p>
    <w:p w14:paraId="27DB9065" w14:textId="77777777" w:rsidR="009121EC" w:rsidRDefault="009121EC"/>
    <w:p w14:paraId="2D3F42B7" w14:textId="77777777" w:rsidR="009121EC" w:rsidRPr="00A51E51" w:rsidRDefault="00000000">
      <w:pPr>
        <w:pStyle w:val="Title"/>
        <w:rPr>
          <w:lang w:val="pl-PL"/>
        </w:rPr>
      </w:pPr>
      <w:r w:rsidRPr="00A51E51">
        <w:rPr>
          <w:lang w:val="pl-PL"/>
        </w:rPr>
        <w:t>Propozycja układowa</w:t>
      </w:r>
    </w:p>
    <w:p w14:paraId="6EEF4004" w14:textId="77777777" w:rsidR="009121EC" w:rsidRDefault="009121EC"/>
    <w:p w14:paraId="6B77DBFA" w14:textId="2C15E60F" w:rsidR="009121EC" w:rsidRDefault="00000000">
      <w:pPr>
        <w:jc w:val="center"/>
      </w:pPr>
      <w:r>
        <w:t xml:space="preserve">przygotowana w postępowaniu o zatwierdzenie układu spółki Local Auto sp. z o.o. w którym obwieszczono o ustaleniu dnia układowego, prowadzonym pod sygn. akt </w:t>
      </w:r>
    </w:p>
    <w:p w14:paraId="703EEFB1" w14:textId="77777777" w:rsidR="009121EC" w:rsidRDefault="009121EC"/>
    <w:p w14:paraId="397E4C77" w14:textId="77777777" w:rsidR="009121EC" w:rsidRDefault="009121EC"/>
    <w:p w14:paraId="3D48521D" w14:textId="77777777" w:rsidR="009121EC" w:rsidRDefault="00000000">
      <w:pPr>
        <w:pStyle w:val="Heading1"/>
      </w:pPr>
      <w:bookmarkStart w:id="0" w:name="_Toc199495639"/>
      <w:r>
        <w:t>Preambuła</w:t>
      </w:r>
      <w:bookmarkEnd w:id="0"/>
    </w:p>
    <w:p w14:paraId="1A82F70F" w14:textId="77777777" w:rsidR="009121EC" w:rsidRDefault="009121EC"/>
    <w:p w14:paraId="2D4CA9BB" w14:textId="77777777" w:rsidR="009121EC" w:rsidRDefault="00000000">
      <w:pPr>
        <w:pStyle w:val="Heading1"/>
      </w:pPr>
      <w:bookmarkStart w:id="1" w:name="_Toc199495640"/>
      <w:r>
        <w:t>Wierzyciele objęci układem:</w:t>
      </w:r>
      <w:bookmarkEnd w:id="1"/>
    </w:p>
    <w:p w14:paraId="71183602" w14:textId="77777777" w:rsidR="009121EC" w:rsidRDefault="00000000">
      <w:r>
        <w:rPr>
          <w:b/>
        </w:rPr>
        <w:t>• TriSar - Piotr Sarecki, Kraków</w:t>
      </w:r>
    </w:p>
    <w:p w14:paraId="48DCEB14" w14:textId="77777777" w:rsidR="009121EC" w:rsidRDefault="00000000">
      <w:r>
        <w:rPr>
          <w:b/>
        </w:rPr>
        <w:t>• ORLEN AVIATION sp. z o.o., Warszawa</w:t>
      </w:r>
    </w:p>
    <w:p w14:paraId="5E333DF3" w14:textId="77777777" w:rsidR="009121EC" w:rsidRDefault="00000000">
      <w:r>
        <w:rPr>
          <w:b/>
        </w:rPr>
        <w:t>• LOTOS BIOPALIWA sp. z o.o., Czechowice-Dziedzice</w:t>
      </w:r>
    </w:p>
    <w:p w14:paraId="6EDC6B64" w14:textId="77777777" w:rsidR="009121EC" w:rsidRDefault="00000000">
      <w:r>
        <w:rPr>
          <w:b/>
        </w:rPr>
        <w:t>• ALIOR BANK S.A., Warszawa</w:t>
      </w:r>
    </w:p>
    <w:p w14:paraId="1910CC8C" w14:textId="77777777" w:rsidR="009121EC" w:rsidRDefault="00000000">
      <w:r>
        <w:rPr>
          <w:b/>
        </w:rPr>
        <w:t>• AMICA S.A., Wronki</w:t>
      </w:r>
    </w:p>
    <w:p w14:paraId="3483DC05" w14:textId="77777777" w:rsidR="009121EC" w:rsidRDefault="00000000">
      <w:r>
        <w:rPr>
          <w:b/>
        </w:rPr>
        <w:t>• TOP FINANCE COMPANY sp. z o.o., Warszawa</w:t>
      </w:r>
    </w:p>
    <w:p w14:paraId="419C7865" w14:textId="77777777" w:rsidR="009121EC" w:rsidRDefault="00000000">
      <w:r>
        <w:rPr>
          <w:b/>
        </w:rPr>
        <w:t>• PGNIG TERMIKA S.A., Warszawa</w:t>
      </w:r>
    </w:p>
    <w:p w14:paraId="2AC38698" w14:textId="77777777" w:rsidR="009121EC" w:rsidRDefault="00000000">
      <w:r>
        <w:rPr>
          <w:b/>
        </w:rPr>
        <w:t>• "LIDL POLSKA" sp. z o.o., Jankowice</w:t>
      </w:r>
    </w:p>
    <w:p w14:paraId="2A0F4F22" w14:textId="77777777" w:rsidR="009121EC" w:rsidRDefault="00000000">
      <w:r>
        <w:rPr>
          <w:b/>
        </w:rPr>
        <w:t>• PKO LEASING S.A., Warszawa</w:t>
      </w:r>
    </w:p>
    <w:p w14:paraId="285BA3FE" w14:textId="77777777" w:rsidR="009121EC" w:rsidRDefault="00000000">
      <w:r>
        <w:rPr>
          <w:b/>
        </w:rPr>
        <w:t>• POMORSKA FABRYKA MEBLI sp. z o.o. in liquidation, Nowe</w:t>
      </w:r>
    </w:p>
    <w:p w14:paraId="5EAF1C8A" w14:textId="77777777" w:rsidR="009121EC" w:rsidRDefault="00000000">
      <w:pPr>
        <w:pStyle w:val="Heading1"/>
      </w:pPr>
      <w:bookmarkStart w:id="2" w:name="_Toc199495641"/>
      <w:r>
        <w:t>Wierzyciele nieobjęci układem:</w:t>
      </w:r>
      <w:bookmarkEnd w:id="2"/>
    </w:p>
    <w:p w14:paraId="7EE6CF18" w14:textId="77777777" w:rsidR="009121EC" w:rsidRDefault="00000000">
      <w:r>
        <w:rPr>
          <w:b/>
        </w:rPr>
        <w:t>• "BIEDRONKA"   LIKWIDACYJNEJ sp. z o.o. insolvent, Sierosław</w:t>
      </w:r>
    </w:p>
    <w:p w14:paraId="77A3BA4F" w14:textId="77777777" w:rsidR="009121EC" w:rsidRDefault="00000000">
      <w:r>
        <w:br w:type="page"/>
      </w:r>
    </w:p>
    <w:p w14:paraId="5F2F6CCC" w14:textId="77777777" w:rsidR="009121EC" w:rsidRDefault="00000000">
      <w:pPr>
        <w:pStyle w:val="Heading1"/>
      </w:pPr>
      <w:bookmarkStart w:id="3" w:name="_Toc199495642"/>
      <w:r>
        <w:lastRenderedPageBreak/>
        <w:t>Spis treści</w:t>
      </w:r>
      <w:bookmarkEnd w:id="3"/>
    </w:p>
    <w:p w14:paraId="396DB0F1" w14:textId="77777777" w:rsidR="009121EC" w:rsidRDefault="009121EC"/>
    <w:p w14:paraId="4029D76E" w14:textId="77777777" w:rsidR="00383C9B" w:rsidRDefault="00000000">
      <w:pPr>
        <w:pStyle w:val="TOC1"/>
        <w:tabs>
          <w:tab w:val="right" w:leader="dot" w:pos="10790"/>
        </w:tabs>
        <w:rPr>
          <w:noProof/>
        </w:rPr>
      </w:pPr>
      <w:r>
        <w:fldChar w:fldCharType="begin"/>
      </w:r>
      <w:r>
        <w:instrText>TOC \o "1-3" \h \z \u \n</w:instrText>
      </w:r>
      <w:r>
        <w:fldChar w:fldCharType="separate"/>
      </w:r>
      <w:hyperlink w:anchor="_Toc199495639" w:history="1">
        <w:r w:rsidR="00383C9B" w:rsidRPr="003032C5">
          <w:rPr>
            <w:rStyle w:val="Hyperlink"/>
            <w:noProof/>
          </w:rPr>
          <w:t>Preambuła</w:t>
        </w:r>
      </w:hyperlink>
    </w:p>
    <w:p w14:paraId="203A748C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40" w:history="1">
        <w:r w:rsidRPr="003032C5">
          <w:rPr>
            <w:rStyle w:val="Hyperlink"/>
            <w:noProof/>
          </w:rPr>
          <w:t>Wierzyciele objęci układem:</w:t>
        </w:r>
      </w:hyperlink>
    </w:p>
    <w:p w14:paraId="7D95F3AD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41" w:history="1">
        <w:r w:rsidRPr="003032C5">
          <w:rPr>
            <w:rStyle w:val="Hyperlink"/>
            <w:noProof/>
          </w:rPr>
          <w:t>Wierzyciele nieobjęci układem:</w:t>
        </w:r>
      </w:hyperlink>
    </w:p>
    <w:p w14:paraId="7CB2255C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42" w:history="1">
        <w:r w:rsidRPr="003032C5">
          <w:rPr>
            <w:rStyle w:val="Hyperlink"/>
            <w:noProof/>
          </w:rPr>
          <w:t>Spis treści</w:t>
        </w:r>
      </w:hyperlink>
    </w:p>
    <w:p w14:paraId="595041D1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43" w:history="1">
        <w:r w:rsidRPr="003032C5">
          <w:rPr>
            <w:rStyle w:val="Hyperlink"/>
            <w:noProof/>
          </w:rPr>
          <w:t>Propozycja 1</w:t>
        </w:r>
      </w:hyperlink>
    </w:p>
    <w:p w14:paraId="76F9D174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44" w:history="1">
        <w:r w:rsidRPr="003032C5">
          <w:rPr>
            <w:rStyle w:val="Hyperlink"/>
            <w:noProof/>
          </w:rPr>
          <w:t>Grupa 1: Wierzyciele z zabezpieczeniem</w:t>
        </w:r>
      </w:hyperlink>
    </w:p>
    <w:p w14:paraId="68E549DF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45" w:history="1">
        <w:r w:rsidRPr="003032C5">
          <w:rPr>
            <w:rStyle w:val="Hyperlink"/>
            <w:noProof/>
          </w:rPr>
          <w:t>"LIDL POLSKA" sp. z o.o., Jankowice</w:t>
        </w:r>
      </w:hyperlink>
    </w:p>
    <w:p w14:paraId="3F4FDE15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46" w:history="1">
        <w:r w:rsidRPr="003032C5">
          <w:rPr>
            <w:rStyle w:val="Hyperlink"/>
            <w:noProof/>
          </w:rPr>
          <w:t>AMICA S.A., Wronki</w:t>
        </w:r>
      </w:hyperlink>
    </w:p>
    <w:p w14:paraId="76079EF2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47" w:history="1">
        <w:r w:rsidRPr="003032C5">
          <w:rPr>
            <w:rStyle w:val="Hyperlink"/>
            <w:noProof/>
          </w:rPr>
          <w:t>Grupa 2: Publicznoprawni</w:t>
        </w:r>
      </w:hyperlink>
    </w:p>
    <w:p w14:paraId="1D69A985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48" w:history="1">
        <w:r w:rsidRPr="003032C5">
          <w:rPr>
            <w:rStyle w:val="Hyperlink"/>
            <w:noProof/>
          </w:rPr>
          <w:t>PGNIG TERMIKA S.A., Warszawa</w:t>
        </w:r>
      </w:hyperlink>
    </w:p>
    <w:p w14:paraId="799913AD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49" w:history="1">
        <w:r w:rsidRPr="003032C5">
          <w:rPr>
            <w:rStyle w:val="Hyperlink"/>
            <w:noProof/>
          </w:rPr>
          <w:t>TOP FINANCE COMPANY sp. z o.o., Warszawa</w:t>
        </w:r>
      </w:hyperlink>
    </w:p>
    <w:p w14:paraId="0094D52E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50" w:history="1">
        <w:r w:rsidRPr="003032C5">
          <w:rPr>
            <w:rStyle w:val="Hyperlink"/>
            <w:noProof/>
          </w:rPr>
          <w:t>ORLEN AVIATION sp. z o.o., Warszawa</w:t>
        </w:r>
      </w:hyperlink>
    </w:p>
    <w:p w14:paraId="68C2E674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51" w:history="1">
        <w:r w:rsidRPr="003032C5">
          <w:rPr>
            <w:rStyle w:val="Hyperlink"/>
            <w:noProof/>
          </w:rPr>
          <w:t>Grupa 3: Leasingi</w:t>
        </w:r>
      </w:hyperlink>
    </w:p>
    <w:p w14:paraId="180FD872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52" w:history="1">
        <w:r w:rsidRPr="003032C5">
          <w:rPr>
            <w:rStyle w:val="Hyperlink"/>
            <w:noProof/>
          </w:rPr>
          <w:t>LOTOS BIOPALIWA sp. z o.o., Czechowice-Dziedzice</w:t>
        </w:r>
      </w:hyperlink>
    </w:p>
    <w:p w14:paraId="32EF465C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53" w:history="1">
        <w:r w:rsidRPr="003032C5">
          <w:rPr>
            <w:rStyle w:val="Hyperlink"/>
            <w:noProof/>
          </w:rPr>
          <w:t>Grupa 4: Powyżej 200 tys.</w:t>
        </w:r>
      </w:hyperlink>
    </w:p>
    <w:p w14:paraId="206B1310" w14:textId="77777777" w:rsidR="00383C9B" w:rsidRDefault="00383C9B">
      <w:pPr>
        <w:pStyle w:val="TOC2"/>
        <w:tabs>
          <w:tab w:val="right" w:leader="dot" w:pos="10790"/>
        </w:tabs>
        <w:rPr>
          <w:noProof/>
        </w:rPr>
      </w:pPr>
      <w:hyperlink w:anchor="_Toc199495654" w:history="1">
        <w:r w:rsidRPr="003032C5">
          <w:rPr>
            <w:rStyle w:val="Hyperlink"/>
            <w:noProof/>
          </w:rPr>
          <w:t>PKO LEASING S.A., Warszawa</w:t>
        </w:r>
      </w:hyperlink>
    </w:p>
    <w:p w14:paraId="46C705E8" w14:textId="77777777" w:rsidR="00383C9B" w:rsidRDefault="00383C9B">
      <w:pPr>
        <w:pStyle w:val="TOC1"/>
        <w:tabs>
          <w:tab w:val="right" w:leader="dot" w:pos="10790"/>
        </w:tabs>
        <w:rPr>
          <w:noProof/>
        </w:rPr>
      </w:pPr>
      <w:hyperlink w:anchor="_Toc199495655" w:history="1">
        <w:r w:rsidRPr="003032C5">
          <w:rPr>
            <w:rStyle w:val="Hyperlink"/>
            <w:noProof/>
          </w:rPr>
          <w:t>Grupa 5: Do 200 tys.</w:t>
        </w:r>
      </w:hyperlink>
    </w:p>
    <w:p w14:paraId="5C3A7EDB" w14:textId="77777777" w:rsidR="009121EC" w:rsidRDefault="00000000">
      <w:r>
        <w:fldChar w:fldCharType="end"/>
      </w:r>
    </w:p>
    <w:p w14:paraId="4B216EC6" w14:textId="77777777" w:rsidR="009121EC" w:rsidRDefault="00000000">
      <w:r>
        <w:br w:type="page"/>
      </w:r>
    </w:p>
    <w:p w14:paraId="5CA38C40" w14:textId="77777777" w:rsidR="009121EC" w:rsidRDefault="00000000">
      <w:pPr>
        <w:pStyle w:val="Heading1"/>
      </w:pPr>
      <w:bookmarkStart w:id="4" w:name="_Toc199495643"/>
      <w:r>
        <w:lastRenderedPageBreak/>
        <w:t>Propozycja 1</w:t>
      </w:r>
      <w:bookmarkEnd w:id="4"/>
    </w:p>
    <w:p w14:paraId="094869CA" w14:textId="77777777" w:rsidR="009121EC" w:rsidRDefault="00000000">
      <w:r>
        <w:t xml:space="preserve">Przedstawiona propozycja układowa zakłada spłatę 98.43% wierzytelności w maksymalnym okresie 96 miesięcy przy założeniu, że maksymalna kwota miesięcznej spłaty nie przekroczy 117 950,42 zł. W tym okresie dłużnik spłaci 3 120 040,00 zł należności względem wierzycieli i utrzyma ciągłość działalności gospodarczej. Proponowany termin rozpoczęcia spłaty to ostatni dzień miesiąca następującego po miesiącu, w którym Sąd obwieści o uprawomocnieniu się postanowienia Sądu o zatwierdzeniu układu. </w:t>
      </w:r>
    </w:p>
    <w:p w14:paraId="3A0F2B7F" w14:textId="77777777" w:rsidR="009121EC" w:rsidRDefault="00000000">
      <w:r>
        <w:t xml:space="preserve">Szczegółowy harmonogram płatności dla każdego z wierzycieli przedstawiono w dalszej części dokumentu. Spodziewana wartość inflacji w okresie spłaty to 6.50%.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76E89F0A" w14:textId="77777777">
        <w:tc>
          <w:tcPr>
            <w:tcW w:w="2160" w:type="dxa"/>
          </w:tcPr>
          <w:p w14:paraId="73047B0E" w14:textId="77777777" w:rsidR="009121EC" w:rsidRDefault="00000000">
            <w:r>
              <w:t>Całkowita kwota wierzytelności</w:t>
            </w:r>
          </w:p>
        </w:tc>
        <w:tc>
          <w:tcPr>
            <w:tcW w:w="2160" w:type="dxa"/>
          </w:tcPr>
          <w:p w14:paraId="0DF1B2B6" w14:textId="77777777" w:rsidR="009121EC" w:rsidRDefault="00000000">
            <w:r>
              <w:t>W tym należności głównych</w:t>
            </w:r>
          </w:p>
        </w:tc>
        <w:tc>
          <w:tcPr>
            <w:tcW w:w="2160" w:type="dxa"/>
          </w:tcPr>
          <w:p w14:paraId="0C61B5E1" w14:textId="77777777" w:rsidR="009121EC" w:rsidRDefault="00000000">
            <w:r>
              <w:t>Stopień umorzenia należności głównych</w:t>
            </w:r>
          </w:p>
        </w:tc>
        <w:tc>
          <w:tcPr>
            <w:tcW w:w="2160" w:type="dxa"/>
          </w:tcPr>
          <w:p w14:paraId="1B8B3056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45CA248A" w14:textId="77777777" w:rsidR="009121EC" w:rsidRDefault="00000000">
            <w:r>
              <w:t>Całkowity stopień zaspokojenia po korekcie inflacyjnej</w:t>
            </w:r>
          </w:p>
        </w:tc>
      </w:tr>
      <w:tr w:rsidR="009121EC" w14:paraId="78953143" w14:textId="77777777">
        <w:tc>
          <w:tcPr>
            <w:tcW w:w="2160" w:type="dxa"/>
          </w:tcPr>
          <w:p w14:paraId="552A4BD3" w14:textId="77777777" w:rsidR="009121EC" w:rsidRDefault="00000000">
            <w:r>
              <w:t>3 246 143,00 zł</w:t>
            </w:r>
          </w:p>
        </w:tc>
        <w:tc>
          <w:tcPr>
            <w:tcW w:w="2160" w:type="dxa"/>
          </w:tcPr>
          <w:p w14:paraId="52ABCDF8" w14:textId="77777777" w:rsidR="009121EC" w:rsidRDefault="00000000">
            <w:r>
              <w:t>3 110 908,00 zł</w:t>
            </w:r>
          </w:p>
        </w:tc>
        <w:tc>
          <w:tcPr>
            <w:tcW w:w="2160" w:type="dxa"/>
          </w:tcPr>
          <w:p w14:paraId="240987A6" w14:textId="77777777" w:rsidR="009121EC" w:rsidRDefault="00000000">
            <w:r>
              <w:t>0.29%</w:t>
            </w:r>
          </w:p>
        </w:tc>
        <w:tc>
          <w:tcPr>
            <w:tcW w:w="2160" w:type="dxa"/>
          </w:tcPr>
          <w:p w14:paraId="1CA5BC01" w14:textId="77777777" w:rsidR="009121EC" w:rsidRDefault="00000000">
            <w:r>
              <w:t>98.43%</w:t>
            </w:r>
          </w:p>
        </w:tc>
        <w:tc>
          <w:tcPr>
            <w:tcW w:w="2160" w:type="dxa"/>
          </w:tcPr>
          <w:p w14:paraId="1D2A3DE5" w14:textId="77777777" w:rsidR="009121EC" w:rsidRDefault="00000000">
            <w:r>
              <w:t>90.37%</w:t>
            </w:r>
          </w:p>
        </w:tc>
      </w:tr>
    </w:tbl>
    <w:p w14:paraId="0E8FC497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6"/>
        <w:gridCol w:w="2698"/>
        <w:gridCol w:w="2698"/>
        <w:gridCol w:w="2698"/>
      </w:tblGrid>
      <w:tr w:rsidR="009121EC" w14:paraId="393A8C5D" w14:textId="77777777">
        <w:tc>
          <w:tcPr>
            <w:tcW w:w="2700" w:type="dxa"/>
          </w:tcPr>
          <w:p w14:paraId="3C7581E3" w14:textId="77777777" w:rsidR="009121EC" w:rsidRDefault="00000000">
            <w:r>
              <w:t>Liczba rat</w:t>
            </w:r>
          </w:p>
        </w:tc>
        <w:tc>
          <w:tcPr>
            <w:tcW w:w="2700" w:type="dxa"/>
          </w:tcPr>
          <w:p w14:paraId="0304C1AD" w14:textId="77777777" w:rsidR="009121EC" w:rsidRDefault="00000000">
            <w:r>
              <w:t>Pierwsza rata</w:t>
            </w:r>
          </w:p>
        </w:tc>
        <w:tc>
          <w:tcPr>
            <w:tcW w:w="2700" w:type="dxa"/>
          </w:tcPr>
          <w:p w14:paraId="6886C603" w14:textId="77777777" w:rsidR="009121EC" w:rsidRDefault="00000000">
            <w:r>
              <w:t>Maksymalna kwota miesięcznej raty</w:t>
            </w:r>
          </w:p>
        </w:tc>
        <w:tc>
          <w:tcPr>
            <w:tcW w:w="2700" w:type="dxa"/>
          </w:tcPr>
          <w:p w14:paraId="15675BD4" w14:textId="77777777" w:rsidR="009121EC" w:rsidRDefault="00000000">
            <w:r>
              <w:t>Łączna kwota spłaty kapitału</w:t>
            </w:r>
          </w:p>
        </w:tc>
      </w:tr>
      <w:tr w:rsidR="009121EC" w14:paraId="4BA6E992" w14:textId="77777777">
        <w:tc>
          <w:tcPr>
            <w:tcW w:w="2700" w:type="dxa"/>
          </w:tcPr>
          <w:p w14:paraId="1627960B" w14:textId="77777777" w:rsidR="009121EC" w:rsidRDefault="00000000">
            <w:r>
              <w:t>96</w:t>
            </w:r>
          </w:p>
        </w:tc>
        <w:tc>
          <w:tcPr>
            <w:tcW w:w="2700" w:type="dxa"/>
          </w:tcPr>
          <w:p w14:paraId="07B3D7B3" w14:textId="77777777" w:rsidR="009121EC" w:rsidRDefault="00000000">
            <w:r>
              <w:t>117 950,42 zł</w:t>
            </w:r>
          </w:p>
        </w:tc>
        <w:tc>
          <w:tcPr>
            <w:tcW w:w="2700" w:type="dxa"/>
          </w:tcPr>
          <w:p w14:paraId="1966AE3E" w14:textId="77777777" w:rsidR="009121EC" w:rsidRDefault="00000000">
            <w:r>
              <w:t>117 950,42 zł</w:t>
            </w:r>
          </w:p>
        </w:tc>
        <w:tc>
          <w:tcPr>
            <w:tcW w:w="2700" w:type="dxa"/>
          </w:tcPr>
          <w:p w14:paraId="13374D8E" w14:textId="77777777" w:rsidR="009121EC" w:rsidRDefault="00000000">
            <w:r>
              <w:t>3 120 040,00 zł</w:t>
            </w:r>
          </w:p>
        </w:tc>
      </w:tr>
    </w:tbl>
    <w:p w14:paraId="5D5B6D97" w14:textId="77777777" w:rsidR="009121EC" w:rsidRDefault="009121EC"/>
    <w:p w14:paraId="178814BF" w14:textId="77777777" w:rsidR="009121EC" w:rsidRDefault="00000000">
      <w:r>
        <w:rPr>
          <w:noProof/>
        </w:rPr>
        <w:drawing>
          <wp:inline distT="0" distB="0" distL="0" distR="0" wp14:anchorId="720CDC89" wp14:editId="72756F53">
            <wp:extent cx="6840000" cy="32671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326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90A386" w14:textId="77777777" w:rsidR="009121EC" w:rsidRDefault="00000000">
      <w:r>
        <w:t xml:space="preserve">Wykres przedstawia sumę wszystkich wierzytelności przynależnych do każdej z Grup. Kolorami wyróżniono sumę należności głównych, odsetek i wierzytelności ubocznych. Wartości przedstawiają zobowiązania na dzień rozpoczęcia postępowania, przed umorzeniami. </w:t>
      </w:r>
    </w:p>
    <w:p w14:paraId="79DE3819" w14:textId="77777777" w:rsidR="009121EC" w:rsidRDefault="00000000">
      <w:r>
        <w:rPr>
          <w:noProof/>
        </w:rPr>
        <w:lastRenderedPageBreak/>
        <w:drawing>
          <wp:inline distT="0" distB="0" distL="0" distR="0" wp14:anchorId="1E3CB139" wp14:editId="1967AB1B">
            <wp:extent cx="6840000" cy="31942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3194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1B10EA" w14:textId="77777777" w:rsidR="009121EC" w:rsidRDefault="00000000">
      <w:r>
        <w:t>Dla każdej z grup wykres przedstawia procent zaspokojenia po uwzględnieniem umorzenia oraz po korekcie inflacyjnej przepływów pieniężnych wynikających ze spłat kapitału w ratach rozłożonych w czasie. "Symulacja upadłości (*)" przedstawia estymowane zaspokojenie prywatnego wierzyciela niezabezpieczonego na majątku, w przypadku upadłości z uwzględnieniem korekty inflacyjnej wynikającej ze spodziewanego czasu do rozpoczęcia spłaty.</w:t>
      </w:r>
    </w:p>
    <w:p w14:paraId="7264C82E" w14:textId="77777777" w:rsidR="009121EC" w:rsidRDefault="00000000">
      <w:r>
        <w:br w:type="page"/>
      </w:r>
    </w:p>
    <w:p w14:paraId="1F60917C" w14:textId="77777777" w:rsidR="009121EC" w:rsidRDefault="00000000">
      <w:pPr>
        <w:pStyle w:val="Heading1"/>
      </w:pPr>
      <w:bookmarkStart w:id="5" w:name="_Toc199495644"/>
      <w:r>
        <w:lastRenderedPageBreak/>
        <w:t>Grupa 1: Wierzyciele z zabezpieczeniem</w:t>
      </w:r>
      <w:bookmarkEnd w:id="5"/>
    </w:p>
    <w:p w14:paraId="56BA16CA" w14:textId="77777777" w:rsidR="009121EC" w:rsidRDefault="00000000">
      <w:r>
        <w:rPr>
          <w:b/>
        </w:rPr>
        <w:t>Wierzyciele z zabezpieczeniem rzeczowym na majątku dłużnika, dla których propozycje układowe przewidują zaspokojenie zgodne z art. 151 ust. 2a Prawa restrukturyzacyjnego.</w:t>
      </w:r>
    </w:p>
    <w:p w14:paraId="3C092DEE" w14:textId="77777777" w:rsidR="009121EC" w:rsidRDefault="009121EC"/>
    <w:p w14:paraId="4733E88A" w14:textId="77777777" w:rsidR="009121EC" w:rsidRDefault="00000000">
      <w:r>
        <w:t>Zaspokojenie 117.40% sumy wierzytelności poprzez spłatę w 60 równych ratach płatnych co miesiąc.  Ustalone raty miesięczne zawierają oprocentowanie całkowitej kwoty zadłużenia w wysokości 6.50% w skali roku.</w:t>
      </w:r>
    </w:p>
    <w:p w14:paraId="2D6CD13F" w14:textId="77777777" w:rsidR="009121EC" w:rsidRDefault="00000000">
      <w:r>
        <w:t>Termin płatności pierwszej raty przypada na ostatni dzień miesiąca następującego po miesiącu, w którym Sąd obwieści o uprawomocnieniu się postanowienia Sądu o zatwierdzeniu układu.</w:t>
      </w:r>
    </w:p>
    <w:p w14:paraId="42A432EE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01958F87" w14:textId="77777777">
        <w:tc>
          <w:tcPr>
            <w:tcW w:w="2160" w:type="dxa"/>
          </w:tcPr>
          <w:p w14:paraId="3042B485" w14:textId="77777777" w:rsidR="009121EC" w:rsidRDefault="00000000">
            <w:r>
              <w:t>Całkowita kwota wierzytelności</w:t>
            </w:r>
          </w:p>
        </w:tc>
        <w:tc>
          <w:tcPr>
            <w:tcW w:w="2160" w:type="dxa"/>
          </w:tcPr>
          <w:p w14:paraId="0A1426EA" w14:textId="77777777" w:rsidR="009121EC" w:rsidRDefault="00000000">
            <w:r>
              <w:t>W tym należności głównych</w:t>
            </w:r>
          </w:p>
        </w:tc>
        <w:tc>
          <w:tcPr>
            <w:tcW w:w="2160" w:type="dxa"/>
          </w:tcPr>
          <w:p w14:paraId="42259542" w14:textId="77777777" w:rsidR="009121EC" w:rsidRDefault="00000000">
            <w:r>
              <w:t>Stopień umorzenia należności głównych</w:t>
            </w:r>
          </w:p>
        </w:tc>
        <w:tc>
          <w:tcPr>
            <w:tcW w:w="2160" w:type="dxa"/>
          </w:tcPr>
          <w:p w14:paraId="36DBCBEF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292B6A31" w14:textId="77777777" w:rsidR="009121EC" w:rsidRDefault="00000000">
            <w:r>
              <w:t>Całkowity stopień zaspokojenia po korekcie inflacyjnej</w:t>
            </w:r>
          </w:p>
        </w:tc>
      </w:tr>
      <w:tr w:rsidR="009121EC" w14:paraId="3524F7D6" w14:textId="77777777">
        <w:tc>
          <w:tcPr>
            <w:tcW w:w="2160" w:type="dxa"/>
          </w:tcPr>
          <w:p w14:paraId="61AFEA95" w14:textId="77777777" w:rsidR="009121EC" w:rsidRDefault="00000000">
            <w:r>
              <w:t>432 032,00 zł</w:t>
            </w:r>
          </w:p>
        </w:tc>
        <w:tc>
          <w:tcPr>
            <w:tcW w:w="2160" w:type="dxa"/>
          </w:tcPr>
          <w:p w14:paraId="34C74D58" w14:textId="77777777" w:rsidR="009121EC" w:rsidRDefault="00000000">
            <w:r>
              <w:t>414 000,00 zł</w:t>
            </w:r>
          </w:p>
        </w:tc>
        <w:tc>
          <w:tcPr>
            <w:tcW w:w="2160" w:type="dxa"/>
          </w:tcPr>
          <w:p w14:paraId="5CEEE788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54353FF2" w14:textId="77777777" w:rsidR="009121EC" w:rsidRDefault="00000000">
            <w:r>
              <w:t>117.40%</w:t>
            </w:r>
          </w:p>
        </w:tc>
        <w:tc>
          <w:tcPr>
            <w:tcW w:w="2160" w:type="dxa"/>
          </w:tcPr>
          <w:p w14:paraId="19E30434" w14:textId="77777777" w:rsidR="009121EC" w:rsidRDefault="00000000">
            <w:r>
              <w:t>100%</w:t>
            </w:r>
          </w:p>
        </w:tc>
      </w:tr>
    </w:tbl>
    <w:p w14:paraId="6644A861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8"/>
        <w:gridCol w:w="2159"/>
        <w:gridCol w:w="2158"/>
      </w:tblGrid>
      <w:tr w:rsidR="009121EC" w14:paraId="4487B0C8" w14:textId="77777777">
        <w:tc>
          <w:tcPr>
            <w:tcW w:w="2160" w:type="dxa"/>
          </w:tcPr>
          <w:p w14:paraId="72FC70B2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597C463D" w14:textId="77777777" w:rsidR="009121EC" w:rsidRDefault="00000000">
            <w:r>
              <w:t>Pierwsza rata</w:t>
            </w:r>
          </w:p>
        </w:tc>
        <w:tc>
          <w:tcPr>
            <w:tcW w:w="2160" w:type="dxa"/>
          </w:tcPr>
          <w:p w14:paraId="0F9F6974" w14:textId="77777777" w:rsidR="009121EC" w:rsidRDefault="00000000">
            <w:r>
              <w:t>Maksymalna kwota miesięcznej raty</w:t>
            </w:r>
          </w:p>
        </w:tc>
        <w:tc>
          <w:tcPr>
            <w:tcW w:w="2160" w:type="dxa"/>
          </w:tcPr>
          <w:p w14:paraId="719D5211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3B624898" w14:textId="77777777" w:rsidR="009121EC" w:rsidRDefault="00000000">
            <w:r>
              <w:t>Łączna kwota spłaty kapitału</w:t>
            </w:r>
          </w:p>
        </w:tc>
      </w:tr>
      <w:tr w:rsidR="009121EC" w14:paraId="52F9B421" w14:textId="77777777">
        <w:tc>
          <w:tcPr>
            <w:tcW w:w="2160" w:type="dxa"/>
          </w:tcPr>
          <w:p w14:paraId="2495C006" w14:textId="77777777" w:rsidR="009121EC" w:rsidRDefault="00000000">
            <w:r>
              <w:t>60</w:t>
            </w:r>
          </w:p>
        </w:tc>
        <w:tc>
          <w:tcPr>
            <w:tcW w:w="2160" w:type="dxa"/>
          </w:tcPr>
          <w:p w14:paraId="1FF47814" w14:textId="77777777" w:rsidR="009121EC" w:rsidRDefault="00000000">
            <w:r>
              <w:t>8 453,20 zł</w:t>
            </w:r>
          </w:p>
        </w:tc>
        <w:tc>
          <w:tcPr>
            <w:tcW w:w="2160" w:type="dxa"/>
          </w:tcPr>
          <w:p w14:paraId="00AF5F33" w14:textId="77777777" w:rsidR="009121EC" w:rsidRDefault="00000000">
            <w:r>
              <w:t>8 453,20 zł</w:t>
            </w:r>
          </w:p>
        </w:tc>
        <w:tc>
          <w:tcPr>
            <w:tcW w:w="2160" w:type="dxa"/>
          </w:tcPr>
          <w:p w14:paraId="62E3E963" w14:textId="77777777" w:rsidR="009121EC" w:rsidRDefault="00000000">
            <w:r>
              <w:t>6.50%</w:t>
            </w:r>
          </w:p>
        </w:tc>
        <w:tc>
          <w:tcPr>
            <w:tcW w:w="2160" w:type="dxa"/>
          </w:tcPr>
          <w:p w14:paraId="5C7D6E34" w14:textId="77777777" w:rsidR="009121EC" w:rsidRDefault="00000000">
            <w:r>
              <w:t>432 032,00 zł</w:t>
            </w:r>
          </w:p>
        </w:tc>
      </w:tr>
    </w:tbl>
    <w:p w14:paraId="50803DC3" w14:textId="77777777" w:rsidR="009121EC" w:rsidRDefault="009121EC"/>
    <w:p w14:paraId="62CE51A2" w14:textId="77777777" w:rsidR="009121EC" w:rsidRDefault="00000000">
      <w:r>
        <w:rPr>
          <w:noProof/>
        </w:rPr>
        <w:drawing>
          <wp:inline distT="0" distB="0" distL="0" distR="0" wp14:anchorId="391BE4A7" wp14:editId="7E1FBD32">
            <wp:extent cx="6840000" cy="144055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440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1E8DFE" w14:textId="77777777" w:rsidR="009121EC" w:rsidRDefault="00000000">
      <w:r>
        <w:t xml:space="preserve">Wykres przedstawia wartości wierzytelności każdego z wierzycieli przynależnych do grupy. Kolorami wyróżniono sumę należności głównych, odsetek i wierzytelności ubocznych. Wartości przedstawiają zobowiązania na dzień rozpoczęcia postępowania, przed umorzeniami. </w:t>
      </w:r>
    </w:p>
    <w:p w14:paraId="4F3A1074" w14:textId="77777777" w:rsidR="009121EC" w:rsidRDefault="00000000">
      <w:r>
        <w:rPr>
          <w:b/>
        </w:rPr>
        <w:t>Poniżej przedstawiono szczegóły Propozycji dla każdego z wierzycieli należących do tej grupy.</w:t>
      </w:r>
    </w:p>
    <w:p w14:paraId="0196216A" w14:textId="77777777" w:rsidR="009121EC" w:rsidRDefault="009121EC"/>
    <w:p w14:paraId="778C88DD" w14:textId="77777777" w:rsidR="009121EC" w:rsidRDefault="00000000">
      <w:pPr>
        <w:pStyle w:val="Heading2"/>
      </w:pPr>
      <w:bookmarkStart w:id="6" w:name="_Toc199495645"/>
      <w:r>
        <w:t>"LIDL POLSKA" sp. z o.o., Jankowice</w:t>
      </w:r>
      <w:bookmarkEnd w:id="6"/>
    </w:p>
    <w:p w14:paraId="656B90AD" w14:textId="77777777" w:rsidR="009121EC" w:rsidRDefault="00000000">
      <w:r>
        <w:t>Lidl</w:t>
      </w:r>
    </w:p>
    <w:p w14:paraId="6A9A34F5" w14:textId="77777777" w:rsidR="009121EC" w:rsidRDefault="00000000">
      <w:r>
        <w:t>Wierzyciel otrzyma łącznie kwotę 46 619,40 zł, czyli zaspokojenie 117.40% sumy wierzytelności. Spłata nastąpi w 60 miesięcznych ratach o wysokości 776,99 zł.  Ustalone raty miesięczne zawierają oprocentowanie całkowitej kwoty zadłużenia w wysokości 6.50% w skali roku.</w:t>
      </w:r>
    </w:p>
    <w:p w14:paraId="38EE7B5D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2FFF68E4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252E7FA4" w14:textId="77777777">
        <w:tc>
          <w:tcPr>
            <w:tcW w:w="2160" w:type="dxa"/>
          </w:tcPr>
          <w:p w14:paraId="7467BEF4" w14:textId="77777777" w:rsidR="009121EC" w:rsidRDefault="00000000">
            <w:r>
              <w:lastRenderedPageBreak/>
              <w:t>Początkowa kwota wierzytelności</w:t>
            </w:r>
          </w:p>
        </w:tc>
        <w:tc>
          <w:tcPr>
            <w:tcW w:w="2160" w:type="dxa"/>
          </w:tcPr>
          <w:p w14:paraId="4B158576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13ADCC39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0D805DB5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1097A8AC" w14:textId="77777777" w:rsidR="009121EC" w:rsidRDefault="00000000">
            <w:r>
              <w:t>Całkowity stopień zaspokojenia po korekcie inflacyjnej</w:t>
            </w:r>
          </w:p>
        </w:tc>
      </w:tr>
      <w:tr w:rsidR="009121EC" w14:paraId="3C40547B" w14:textId="77777777">
        <w:tc>
          <w:tcPr>
            <w:tcW w:w="2160" w:type="dxa"/>
          </w:tcPr>
          <w:p w14:paraId="03E3700D" w14:textId="77777777" w:rsidR="009121EC" w:rsidRDefault="00000000">
            <w:r>
              <w:t>39 711,00 zł</w:t>
            </w:r>
          </w:p>
        </w:tc>
        <w:tc>
          <w:tcPr>
            <w:tcW w:w="2160" w:type="dxa"/>
          </w:tcPr>
          <w:p w14:paraId="474E6269" w14:textId="77777777" w:rsidR="009121EC" w:rsidRDefault="00000000">
            <w:r>
              <w:t>34 000,00 zł</w:t>
            </w:r>
          </w:p>
        </w:tc>
        <w:tc>
          <w:tcPr>
            <w:tcW w:w="2160" w:type="dxa"/>
          </w:tcPr>
          <w:p w14:paraId="25223F1F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2DDC4E19" w14:textId="77777777" w:rsidR="009121EC" w:rsidRDefault="00000000">
            <w:r>
              <w:t>117.40%</w:t>
            </w:r>
          </w:p>
        </w:tc>
        <w:tc>
          <w:tcPr>
            <w:tcW w:w="2160" w:type="dxa"/>
          </w:tcPr>
          <w:p w14:paraId="77ACD3A5" w14:textId="77777777" w:rsidR="009121EC" w:rsidRDefault="00000000">
            <w:r>
              <w:t>100%</w:t>
            </w:r>
          </w:p>
        </w:tc>
      </w:tr>
    </w:tbl>
    <w:p w14:paraId="0AF5CFF9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1B596870" w14:textId="77777777">
        <w:tc>
          <w:tcPr>
            <w:tcW w:w="2160" w:type="dxa"/>
          </w:tcPr>
          <w:p w14:paraId="13383C68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6F72170D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06EB538C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0CF0E513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1090BAC2" w14:textId="77777777" w:rsidR="009121EC" w:rsidRDefault="00000000">
            <w:r>
              <w:t>Estymowany stopień zaspokojenia w przypadku upadłości</w:t>
            </w:r>
          </w:p>
        </w:tc>
      </w:tr>
      <w:tr w:rsidR="009121EC" w14:paraId="569EE100" w14:textId="77777777">
        <w:tc>
          <w:tcPr>
            <w:tcW w:w="2160" w:type="dxa"/>
          </w:tcPr>
          <w:p w14:paraId="500860DC" w14:textId="77777777" w:rsidR="009121EC" w:rsidRDefault="00000000">
            <w:r>
              <w:t>60</w:t>
            </w:r>
          </w:p>
        </w:tc>
        <w:tc>
          <w:tcPr>
            <w:tcW w:w="2160" w:type="dxa"/>
          </w:tcPr>
          <w:p w14:paraId="6C78BF65" w14:textId="77777777" w:rsidR="009121EC" w:rsidRDefault="00000000">
            <w:r>
              <w:t>776,99 zł</w:t>
            </w:r>
          </w:p>
        </w:tc>
        <w:tc>
          <w:tcPr>
            <w:tcW w:w="2160" w:type="dxa"/>
          </w:tcPr>
          <w:p w14:paraId="6F537FF9" w14:textId="77777777" w:rsidR="009121EC" w:rsidRDefault="00000000">
            <w:r>
              <w:t>6.50%</w:t>
            </w:r>
          </w:p>
        </w:tc>
        <w:tc>
          <w:tcPr>
            <w:tcW w:w="2160" w:type="dxa"/>
          </w:tcPr>
          <w:p w14:paraId="71615E14" w14:textId="77777777" w:rsidR="009121EC" w:rsidRDefault="00000000">
            <w:r>
              <w:t>46 619,40 zł</w:t>
            </w:r>
          </w:p>
        </w:tc>
        <w:tc>
          <w:tcPr>
            <w:tcW w:w="2160" w:type="dxa"/>
          </w:tcPr>
          <w:p w14:paraId="3F631163" w14:textId="77777777" w:rsidR="009121EC" w:rsidRDefault="00000000">
            <w:r>
              <w:t>(brak)</w:t>
            </w:r>
          </w:p>
        </w:tc>
      </w:tr>
    </w:tbl>
    <w:p w14:paraId="282A9544" w14:textId="77777777" w:rsidR="009121EC" w:rsidRDefault="009121EC"/>
    <w:p w14:paraId="04AD2A7F" w14:textId="77777777" w:rsidR="009121EC" w:rsidRDefault="00000000">
      <w:r>
        <w:rPr>
          <w:b/>
        </w:rPr>
        <w:t>Harmonogram spłaty</w:t>
      </w:r>
    </w:p>
    <w:p w14:paraId="024406FC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004E1803" w14:textId="77777777">
        <w:tc>
          <w:tcPr>
            <w:tcW w:w="5400" w:type="dxa"/>
          </w:tcPr>
          <w:p w14:paraId="06CC918C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70F84A7A" w14:textId="77777777" w:rsidR="009121EC" w:rsidRDefault="00000000">
            <w:r>
              <w:t>Miesiąc 1-60</w:t>
            </w:r>
          </w:p>
        </w:tc>
      </w:tr>
      <w:tr w:rsidR="009121EC" w14:paraId="14F97ACA" w14:textId="77777777">
        <w:tc>
          <w:tcPr>
            <w:tcW w:w="5400" w:type="dxa"/>
          </w:tcPr>
          <w:p w14:paraId="4EFBCC48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2CD8D1E8" w14:textId="77777777" w:rsidR="009121EC" w:rsidRDefault="00000000">
            <w:r>
              <w:t>776,99 zł</w:t>
            </w:r>
          </w:p>
        </w:tc>
      </w:tr>
    </w:tbl>
    <w:p w14:paraId="41E85220" w14:textId="77777777" w:rsidR="009121EC" w:rsidRDefault="009121EC"/>
    <w:p w14:paraId="08A37F0E" w14:textId="77777777" w:rsidR="009121EC" w:rsidRDefault="00000000">
      <w:pPr>
        <w:pStyle w:val="Heading2"/>
      </w:pPr>
      <w:bookmarkStart w:id="7" w:name="_Toc199495646"/>
      <w:r>
        <w:t>AMICA S.A., Wronki</w:t>
      </w:r>
      <w:bookmarkEnd w:id="7"/>
    </w:p>
    <w:p w14:paraId="034DDF02" w14:textId="77777777" w:rsidR="009121EC" w:rsidRDefault="00000000">
      <w:r>
        <w:t>Amica</w:t>
      </w:r>
    </w:p>
    <w:p w14:paraId="5D70F590" w14:textId="77777777" w:rsidR="009121EC" w:rsidRDefault="00000000">
      <w:r>
        <w:t>Wierzyciel otrzyma łącznie kwotę 460 572,60 zł, czyli zaspokojenie 117.40% sumy wierzytelności. Spłata nastąpi w 60 miesięcznych ratach o wysokości 7 676,21 zł.  Ustalone raty miesięczne zawierają oprocentowanie całkowitej kwoty zadłużenia w wysokości 6.50% w skali roku.</w:t>
      </w:r>
    </w:p>
    <w:p w14:paraId="51898B1A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24AA439B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3DBCB857" w14:textId="77777777">
        <w:tc>
          <w:tcPr>
            <w:tcW w:w="2160" w:type="dxa"/>
          </w:tcPr>
          <w:p w14:paraId="32F05F03" w14:textId="77777777" w:rsidR="009121EC" w:rsidRDefault="00000000">
            <w:r>
              <w:t>Początkowa kwota wierzytelności</w:t>
            </w:r>
          </w:p>
        </w:tc>
        <w:tc>
          <w:tcPr>
            <w:tcW w:w="2160" w:type="dxa"/>
          </w:tcPr>
          <w:p w14:paraId="4A79B76D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3A7EB96C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2A9C427F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47AFC8F2" w14:textId="77777777" w:rsidR="009121EC" w:rsidRDefault="00000000">
            <w:r>
              <w:t>Całkowity stopień zaspokojenia po korekcie inflacyjnej</w:t>
            </w:r>
          </w:p>
        </w:tc>
      </w:tr>
      <w:tr w:rsidR="009121EC" w14:paraId="0DB1CC73" w14:textId="77777777">
        <w:tc>
          <w:tcPr>
            <w:tcW w:w="2160" w:type="dxa"/>
          </w:tcPr>
          <w:p w14:paraId="0BF8C5F0" w14:textId="77777777" w:rsidR="009121EC" w:rsidRDefault="00000000">
            <w:r>
              <w:t>392 321,00 zł</w:t>
            </w:r>
          </w:p>
        </w:tc>
        <w:tc>
          <w:tcPr>
            <w:tcW w:w="2160" w:type="dxa"/>
          </w:tcPr>
          <w:p w14:paraId="61CE43FB" w14:textId="77777777" w:rsidR="009121EC" w:rsidRDefault="00000000">
            <w:r>
              <w:t>380 000,00 zł</w:t>
            </w:r>
          </w:p>
        </w:tc>
        <w:tc>
          <w:tcPr>
            <w:tcW w:w="2160" w:type="dxa"/>
          </w:tcPr>
          <w:p w14:paraId="4112CC13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092BD138" w14:textId="77777777" w:rsidR="009121EC" w:rsidRDefault="00000000">
            <w:r>
              <w:t>117.40%</w:t>
            </w:r>
          </w:p>
        </w:tc>
        <w:tc>
          <w:tcPr>
            <w:tcW w:w="2160" w:type="dxa"/>
          </w:tcPr>
          <w:p w14:paraId="7105FC6D" w14:textId="77777777" w:rsidR="009121EC" w:rsidRDefault="00000000">
            <w:r>
              <w:t>100%</w:t>
            </w:r>
          </w:p>
        </w:tc>
      </w:tr>
    </w:tbl>
    <w:p w14:paraId="78FD0C00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09427324" w14:textId="77777777">
        <w:tc>
          <w:tcPr>
            <w:tcW w:w="2160" w:type="dxa"/>
          </w:tcPr>
          <w:p w14:paraId="1EC24CFF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1F1082D1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57775DE5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195A0F75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2F0FB93F" w14:textId="77777777" w:rsidR="009121EC" w:rsidRDefault="00000000">
            <w:r>
              <w:t>Estymowany stopień zaspokojenia w przypadku upadłości</w:t>
            </w:r>
          </w:p>
        </w:tc>
      </w:tr>
      <w:tr w:rsidR="009121EC" w14:paraId="691C8775" w14:textId="77777777">
        <w:tc>
          <w:tcPr>
            <w:tcW w:w="2160" w:type="dxa"/>
          </w:tcPr>
          <w:p w14:paraId="5547E9F8" w14:textId="77777777" w:rsidR="009121EC" w:rsidRDefault="00000000">
            <w:r>
              <w:t>60</w:t>
            </w:r>
          </w:p>
        </w:tc>
        <w:tc>
          <w:tcPr>
            <w:tcW w:w="2160" w:type="dxa"/>
          </w:tcPr>
          <w:p w14:paraId="42E7AA48" w14:textId="77777777" w:rsidR="009121EC" w:rsidRDefault="00000000">
            <w:r>
              <w:t>7 676,21 zł</w:t>
            </w:r>
          </w:p>
        </w:tc>
        <w:tc>
          <w:tcPr>
            <w:tcW w:w="2160" w:type="dxa"/>
          </w:tcPr>
          <w:p w14:paraId="4C7C682B" w14:textId="77777777" w:rsidR="009121EC" w:rsidRDefault="00000000">
            <w:r>
              <w:t>6.50%</w:t>
            </w:r>
          </w:p>
        </w:tc>
        <w:tc>
          <w:tcPr>
            <w:tcW w:w="2160" w:type="dxa"/>
          </w:tcPr>
          <w:p w14:paraId="5BB5158F" w14:textId="77777777" w:rsidR="009121EC" w:rsidRDefault="00000000">
            <w:r>
              <w:t>460 572,60 zł</w:t>
            </w:r>
          </w:p>
        </w:tc>
        <w:tc>
          <w:tcPr>
            <w:tcW w:w="2160" w:type="dxa"/>
          </w:tcPr>
          <w:p w14:paraId="4D08E3EB" w14:textId="77777777" w:rsidR="009121EC" w:rsidRDefault="00000000">
            <w:r>
              <w:t>(brak)</w:t>
            </w:r>
          </w:p>
        </w:tc>
      </w:tr>
    </w:tbl>
    <w:p w14:paraId="06859296" w14:textId="77777777" w:rsidR="009121EC" w:rsidRDefault="009121EC"/>
    <w:p w14:paraId="4D553A5D" w14:textId="77777777" w:rsidR="009121EC" w:rsidRDefault="00000000">
      <w:r>
        <w:rPr>
          <w:b/>
        </w:rPr>
        <w:t>Harmonogram spłaty</w:t>
      </w:r>
    </w:p>
    <w:p w14:paraId="59ACF2A0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1B86B3FA" w14:textId="77777777">
        <w:tc>
          <w:tcPr>
            <w:tcW w:w="5400" w:type="dxa"/>
          </w:tcPr>
          <w:p w14:paraId="5AE4D318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178319EF" w14:textId="77777777" w:rsidR="009121EC" w:rsidRDefault="00000000">
            <w:r>
              <w:t>Miesiąc 1-60</w:t>
            </w:r>
          </w:p>
        </w:tc>
      </w:tr>
      <w:tr w:rsidR="009121EC" w14:paraId="1428EA4B" w14:textId="77777777">
        <w:tc>
          <w:tcPr>
            <w:tcW w:w="5400" w:type="dxa"/>
          </w:tcPr>
          <w:p w14:paraId="19B3429B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0D0F0469" w14:textId="77777777" w:rsidR="009121EC" w:rsidRDefault="00000000">
            <w:r>
              <w:t>7 676,21 zł</w:t>
            </w:r>
          </w:p>
        </w:tc>
      </w:tr>
    </w:tbl>
    <w:p w14:paraId="00B0F0EE" w14:textId="77777777" w:rsidR="009121EC" w:rsidRDefault="009121EC"/>
    <w:p w14:paraId="1F1777FC" w14:textId="77777777" w:rsidR="009121EC" w:rsidRDefault="00000000">
      <w:r>
        <w:br w:type="page"/>
      </w:r>
    </w:p>
    <w:p w14:paraId="6262C7C0" w14:textId="77777777" w:rsidR="009121EC" w:rsidRDefault="00000000">
      <w:pPr>
        <w:pStyle w:val="Heading1"/>
      </w:pPr>
      <w:bookmarkStart w:id="8" w:name="_Toc199495647"/>
      <w:r>
        <w:lastRenderedPageBreak/>
        <w:t>Grupa 2: Publicznoprawni</w:t>
      </w:r>
      <w:bookmarkEnd w:id="8"/>
    </w:p>
    <w:p w14:paraId="029607DA" w14:textId="77777777" w:rsidR="009121EC" w:rsidRDefault="00000000">
      <w:r>
        <w:rPr>
          <w:b/>
        </w:rPr>
        <w:t>Wierzyciele publicznoprawni objęci dyspozycją art. 160 ust. 1 Prawa restrukturyzacyjnego (Zakład Ubezpieczeń Społecznych).</w:t>
      </w:r>
    </w:p>
    <w:p w14:paraId="50B7F210" w14:textId="77777777" w:rsidR="009121EC" w:rsidRDefault="009121EC"/>
    <w:p w14:paraId="3BCE2EAD" w14:textId="77777777" w:rsidR="009121EC" w:rsidRDefault="00000000">
      <w:r>
        <w:t xml:space="preserve">Zaspokojenie 96.26% sumy wierzytelności poprzez spłatę w 24 równych ratach płatnych co miesiąc. </w:t>
      </w:r>
    </w:p>
    <w:p w14:paraId="6FE16BAD" w14:textId="77777777" w:rsidR="009121EC" w:rsidRDefault="00000000">
      <w:r>
        <w:t>Termin płatności pierwszej raty przypada na ostatni dzień miesiąca następującego po miesiącu, w którym Sąd obwieści o uprawomocnieniu się postanowienia Sądu o zatwierdzeniu układu.</w:t>
      </w:r>
    </w:p>
    <w:p w14:paraId="35ECBAF8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5E69A534" w14:textId="77777777">
        <w:tc>
          <w:tcPr>
            <w:tcW w:w="2160" w:type="dxa"/>
          </w:tcPr>
          <w:p w14:paraId="55CD7DF4" w14:textId="77777777" w:rsidR="009121EC" w:rsidRDefault="00000000">
            <w:r>
              <w:t>Całkowita kwota wierzytelności</w:t>
            </w:r>
          </w:p>
        </w:tc>
        <w:tc>
          <w:tcPr>
            <w:tcW w:w="2160" w:type="dxa"/>
          </w:tcPr>
          <w:p w14:paraId="4765ECE1" w14:textId="77777777" w:rsidR="009121EC" w:rsidRDefault="00000000">
            <w:r>
              <w:t>W tym należności głównych</w:t>
            </w:r>
          </w:p>
        </w:tc>
        <w:tc>
          <w:tcPr>
            <w:tcW w:w="2160" w:type="dxa"/>
          </w:tcPr>
          <w:p w14:paraId="2C3D5B84" w14:textId="77777777" w:rsidR="009121EC" w:rsidRDefault="00000000">
            <w:r>
              <w:t>Stopień umorzenia należności głównych</w:t>
            </w:r>
          </w:p>
        </w:tc>
        <w:tc>
          <w:tcPr>
            <w:tcW w:w="2160" w:type="dxa"/>
          </w:tcPr>
          <w:p w14:paraId="48ECA062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38D1A9BE" w14:textId="77777777" w:rsidR="009121EC" w:rsidRDefault="00000000">
            <w:r>
              <w:t>Całkowity stopień zaspokojenia po korekcie inflacyjnej</w:t>
            </w:r>
          </w:p>
        </w:tc>
      </w:tr>
      <w:tr w:rsidR="009121EC" w14:paraId="342BA672" w14:textId="77777777">
        <w:tc>
          <w:tcPr>
            <w:tcW w:w="2160" w:type="dxa"/>
          </w:tcPr>
          <w:p w14:paraId="15F3AB29" w14:textId="77777777" w:rsidR="009121EC" w:rsidRDefault="00000000">
            <w:r>
              <w:t>2 698 788,00 zł</w:t>
            </w:r>
          </w:p>
        </w:tc>
        <w:tc>
          <w:tcPr>
            <w:tcW w:w="2160" w:type="dxa"/>
          </w:tcPr>
          <w:p w14:paraId="3FFA139E" w14:textId="77777777" w:rsidR="009121EC" w:rsidRDefault="00000000">
            <w:r>
              <w:t>2 597 908,00 zł</w:t>
            </w:r>
          </w:p>
        </w:tc>
        <w:tc>
          <w:tcPr>
            <w:tcW w:w="2160" w:type="dxa"/>
          </w:tcPr>
          <w:p w14:paraId="77CF786D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6D4BDA3E" w14:textId="77777777" w:rsidR="009121EC" w:rsidRDefault="00000000">
            <w:r>
              <w:t>96.26%</w:t>
            </w:r>
          </w:p>
        </w:tc>
        <w:tc>
          <w:tcPr>
            <w:tcW w:w="2160" w:type="dxa"/>
          </w:tcPr>
          <w:p w14:paraId="120064E7" w14:textId="77777777" w:rsidR="009121EC" w:rsidRDefault="00000000">
            <w:r>
              <w:t>90.04%</w:t>
            </w:r>
          </w:p>
        </w:tc>
      </w:tr>
    </w:tbl>
    <w:p w14:paraId="099D238E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8"/>
        <w:gridCol w:w="2159"/>
        <w:gridCol w:w="2158"/>
      </w:tblGrid>
      <w:tr w:rsidR="009121EC" w14:paraId="13EA5E9E" w14:textId="77777777">
        <w:tc>
          <w:tcPr>
            <w:tcW w:w="2160" w:type="dxa"/>
          </w:tcPr>
          <w:p w14:paraId="6C69C4A4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30A9C16A" w14:textId="77777777" w:rsidR="009121EC" w:rsidRDefault="00000000">
            <w:r>
              <w:t>Pierwsza rata</w:t>
            </w:r>
          </w:p>
        </w:tc>
        <w:tc>
          <w:tcPr>
            <w:tcW w:w="2160" w:type="dxa"/>
          </w:tcPr>
          <w:p w14:paraId="7B6DC051" w14:textId="77777777" w:rsidR="009121EC" w:rsidRDefault="00000000">
            <w:r>
              <w:t>Maksymalna kwota miesięcznej raty</w:t>
            </w:r>
          </w:p>
        </w:tc>
        <w:tc>
          <w:tcPr>
            <w:tcW w:w="2160" w:type="dxa"/>
          </w:tcPr>
          <w:p w14:paraId="3C77E833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5F13C145" w14:textId="77777777" w:rsidR="009121EC" w:rsidRDefault="00000000">
            <w:r>
              <w:t>Łączna kwota spłaty kapitału</w:t>
            </w:r>
          </w:p>
        </w:tc>
      </w:tr>
      <w:tr w:rsidR="009121EC" w14:paraId="0D9C8659" w14:textId="77777777">
        <w:tc>
          <w:tcPr>
            <w:tcW w:w="2160" w:type="dxa"/>
          </w:tcPr>
          <w:p w14:paraId="213C921E" w14:textId="77777777" w:rsidR="009121EC" w:rsidRDefault="00000000">
            <w:r>
              <w:t>24</w:t>
            </w:r>
          </w:p>
        </w:tc>
        <w:tc>
          <w:tcPr>
            <w:tcW w:w="2160" w:type="dxa"/>
          </w:tcPr>
          <w:p w14:paraId="2BBE3DA6" w14:textId="77777777" w:rsidR="009121EC" w:rsidRDefault="00000000">
            <w:r>
              <w:t>108 246,17 zł</w:t>
            </w:r>
          </w:p>
        </w:tc>
        <w:tc>
          <w:tcPr>
            <w:tcW w:w="2160" w:type="dxa"/>
          </w:tcPr>
          <w:p w14:paraId="3C4FDE59" w14:textId="77777777" w:rsidR="009121EC" w:rsidRDefault="00000000">
            <w:r>
              <w:t>108 246,17 zł</w:t>
            </w:r>
          </w:p>
        </w:tc>
        <w:tc>
          <w:tcPr>
            <w:tcW w:w="2160" w:type="dxa"/>
          </w:tcPr>
          <w:p w14:paraId="5F11DC63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4B40BCEC" w14:textId="77777777" w:rsidR="009121EC" w:rsidRDefault="00000000">
            <w:r>
              <w:t>2 597 908,00 zł</w:t>
            </w:r>
          </w:p>
        </w:tc>
      </w:tr>
    </w:tbl>
    <w:p w14:paraId="48DACB4A" w14:textId="77777777" w:rsidR="009121EC" w:rsidRDefault="009121EC"/>
    <w:p w14:paraId="0CB5B040" w14:textId="77777777" w:rsidR="009121EC" w:rsidRDefault="00000000">
      <w:r>
        <w:rPr>
          <w:noProof/>
        </w:rPr>
        <w:drawing>
          <wp:inline distT="0" distB="0" distL="0" distR="0" wp14:anchorId="22AA21E6" wp14:editId="73E33C42">
            <wp:extent cx="6840000" cy="18253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825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73CFA" w14:textId="77777777" w:rsidR="009121EC" w:rsidRDefault="00000000">
      <w:r>
        <w:t xml:space="preserve">Wykres przedstawia wartości wierzytelności każdego z wierzycieli przynależnych do grupy. Kolorami wyróżniono sumę należności głównych, odsetek i wierzytelności ubocznych. Wartości przedstawiają zobowiązania na dzień rozpoczęcia postępowania, przed umorzeniami. </w:t>
      </w:r>
    </w:p>
    <w:p w14:paraId="2F2AFF5D" w14:textId="77777777" w:rsidR="009121EC" w:rsidRDefault="00000000">
      <w:r>
        <w:rPr>
          <w:b/>
        </w:rPr>
        <w:t>Poniżej przedstawiono szczegóły Propozycji dla każdego z wierzycieli należących do tej grupy.</w:t>
      </w:r>
    </w:p>
    <w:p w14:paraId="1F9363A3" w14:textId="77777777" w:rsidR="009121EC" w:rsidRDefault="009121EC"/>
    <w:p w14:paraId="74621750" w14:textId="77777777" w:rsidR="009121EC" w:rsidRDefault="00000000">
      <w:pPr>
        <w:pStyle w:val="Heading2"/>
      </w:pPr>
      <w:bookmarkStart w:id="9" w:name="_Toc199495648"/>
      <w:r>
        <w:t>PGNIG TERMIKA S.A., Warszawa</w:t>
      </w:r>
      <w:bookmarkEnd w:id="9"/>
    </w:p>
    <w:p w14:paraId="7225539E" w14:textId="77777777" w:rsidR="009121EC" w:rsidRDefault="00000000">
      <w:r>
        <w:t>PGNIG</w:t>
      </w:r>
    </w:p>
    <w:p w14:paraId="1D05C278" w14:textId="77777777" w:rsidR="009121EC" w:rsidRDefault="00000000">
      <w:r>
        <w:t xml:space="preserve">Wierzyciel otrzyma łącznie kwotę 153 000,00 zł, czyli zaspokojenie 88.56% sumy wierzytelności. Spłata nastąpi w 24 miesięcznych ratach o wysokości 6 375,00 zł. </w:t>
      </w:r>
    </w:p>
    <w:p w14:paraId="010248FE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4FB6F21E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63009294" w14:textId="77777777">
        <w:tc>
          <w:tcPr>
            <w:tcW w:w="2160" w:type="dxa"/>
          </w:tcPr>
          <w:p w14:paraId="38734B6E" w14:textId="77777777" w:rsidR="009121EC" w:rsidRDefault="00000000">
            <w:r>
              <w:lastRenderedPageBreak/>
              <w:t>Początkowa kwota wierzytelności</w:t>
            </w:r>
          </w:p>
        </w:tc>
        <w:tc>
          <w:tcPr>
            <w:tcW w:w="2160" w:type="dxa"/>
          </w:tcPr>
          <w:p w14:paraId="3A219ACB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363C43CD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4101D216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7DE55BD2" w14:textId="77777777" w:rsidR="009121EC" w:rsidRDefault="00000000">
            <w:r>
              <w:t>Całkowity stopień zaspokojenia po korekcie inflacyjnej</w:t>
            </w:r>
          </w:p>
        </w:tc>
      </w:tr>
      <w:tr w:rsidR="009121EC" w14:paraId="01D1FD52" w14:textId="77777777">
        <w:tc>
          <w:tcPr>
            <w:tcW w:w="2160" w:type="dxa"/>
          </w:tcPr>
          <w:p w14:paraId="28042B62" w14:textId="77777777" w:rsidR="009121EC" w:rsidRDefault="00000000">
            <w:r>
              <w:t>172 765,00 zł</w:t>
            </w:r>
          </w:p>
        </w:tc>
        <w:tc>
          <w:tcPr>
            <w:tcW w:w="2160" w:type="dxa"/>
          </w:tcPr>
          <w:p w14:paraId="43010C7E" w14:textId="77777777" w:rsidR="009121EC" w:rsidRDefault="00000000">
            <w:r>
              <w:t>153 000,00 zł</w:t>
            </w:r>
          </w:p>
        </w:tc>
        <w:tc>
          <w:tcPr>
            <w:tcW w:w="2160" w:type="dxa"/>
          </w:tcPr>
          <w:p w14:paraId="1A4918F7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014F7162" w14:textId="77777777" w:rsidR="009121EC" w:rsidRDefault="00000000">
            <w:r>
              <w:t>88.56%</w:t>
            </w:r>
          </w:p>
        </w:tc>
        <w:tc>
          <w:tcPr>
            <w:tcW w:w="2160" w:type="dxa"/>
          </w:tcPr>
          <w:p w14:paraId="5FBD722C" w14:textId="77777777" w:rsidR="009121EC" w:rsidRDefault="00000000">
            <w:r>
              <w:t>82.83%</w:t>
            </w:r>
          </w:p>
        </w:tc>
      </w:tr>
    </w:tbl>
    <w:p w14:paraId="6FEFF0FA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0A256142" w14:textId="77777777">
        <w:tc>
          <w:tcPr>
            <w:tcW w:w="2160" w:type="dxa"/>
          </w:tcPr>
          <w:p w14:paraId="62FC9DE2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1041C9A3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46E12039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459DF26A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57699FD4" w14:textId="77777777" w:rsidR="009121EC" w:rsidRDefault="00000000">
            <w:r>
              <w:t>Estymowany stopień zaspokojenia w przypadku upadłości</w:t>
            </w:r>
          </w:p>
        </w:tc>
      </w:tr>
      <w:tr w:rsidR="009121EC" w14:paraId="0B1C8566" w14:textId="77777777">
        <w:tc>
          <w:tcPr>
            <w:tcW w:w="2160" w:type="dxa"/>
          </w:tcPr>
          <w:p w14:paraId="5710E144" w14:textId="77777777" w:rsidR="009121EC" w:rsidRDefault="00000000">
            <w:r>
              <w:t>24</w:t>
            </w:r>
          </w:p>
        </w:tc>
        <w:tc>
          <w:tcPr>
            <w:tcW w:w="2160" w:type="dxa"/>
          </w:tcPr>
          <w:p w14:paraId="3D9EC1B3" w14:textId="77777777" w:rsidR="009121EC" w:rsidRDefault="00000000">
            <w:r>
              <w:t>6 375,00 zł</w:t>
            </w:r>
          </w:p>
        </w:tc>
        <w:tc>
          <w:tcPr>
            <w:tcW w:w="2160" w:type="dxa"/>
          </w:tcPr>
          <w:p w14:paraId="0E79BB42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6F119489" w14:textId="77777777" w:rsidR="009121EC" w:rsidRDefault="00000000">
            <w:r>
              <w:t>153 000,00 zł</w:t>
            </w:r>
          </w:p>
        </w:tc>
        <w:tc>
          <w:tcPr>
            <w:tcW w:w="2160" w:type="dxa"/>
          </w:tcPr>
          <w:p w14:paraId="107C4981" w14:textId="77777777" w:rsidR="009121EC" w:rsidRDefault="00000000">
            <w:r>
              <w:t>(brak)</w:t>
            </w:r>
          </w:p>
        </w:tc>
      </w:tr>
    </w:tbl>
    <w:p w14:paraId="603661FC" w14:textId="77777777" w:rsidR="009121EC" w:rsidRDefault="009121EC"/>
    <w:p w14:paraId="2159E8C6" w14:textId="77777777" w:rsidR="009121EC" w:rsidRDefault="00000000">
      <w:r>
        <w:rPr>
          <w:b/>
        </w:rPr>
        <w:t>Harmonogram spłaty</w:t>
      </w:r>
    </w:p>
    <w:p w14:paraId="1143C0CF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400EF55F" w14:textId="77777777">
        <w:tc>
          <w:tcPr>
            <w:tcW w:w="5400" w:type="dxa"/>
          </w:tcPr>
          <w:p w14:paraId="6F48869C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4C60FE77" w14:textId="77777777" w:rsidR="009121EC" w:rsidRDefault="00000000">
            <w:r>
              <w:t>Miesiąc 1-24</w:t>
            </w:r>
          </w:p>
        </w:tc>
      </w:tr>
      <w:tr w:rsidR="009121EC" w14:paraId="28F555C4" w14:textId="77777777">
        <w:tc>
          <w:tcPr>
            <w:tcW w:w="5400" w:type="dxa"/>
          </w:tcPr>
          <w:p w14:paraId="18E804B2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1808E992" w14:textId="77777777" w:rsidR="009121EC" w:rsidRDefault="00000000">
            <w:r>
              <w:t>6 375,00 zł</w:t>
            </w:r>
          </w:p>
        </w:tc>
      </w:tr>
    </w:tbl>
    <w:p w14:paraId="66E7FDDE" w14:textId="77777777" w:rsidR="009121EC" w:rsidRDefault="009121EC"/>
    <w:p w14:paraId="6D031A4B" w14:textId="77777777" w:rsidR="009121EC" w:rsidRDefault="00000000">
      <w:pPr>
        <w:pStyle w:val="Heading2"/>
      </w:pPr>
      <w:bookmarkStart w:id="10" w:name="_Toc199495649"/>
      <w:r>
        <w:t>TOP FINANCE COMPANY sp. z o.o., Warszawa</w:t>
      </w:r>
      <w:bookmarkEnd w:id="10"/>
    </w:p>
    <w:p w14:paraId="2B14979F" w14:textId="77777777" w:rsidR="009121EC" w:rsidRDefault="00000000">
      <w:r>
        <w:t>Top Finance</w:t>
      </w:r>
    </w:p>
    <w:p w14:paraId="500989A6" w14:textId="77777777" w:rsidR="009121EC" w:rsidRDefault="00000000">
      <w:r>
        <w:t xml:space="preserve">Wierzyciel otrzyma łącznie kwotę 540 000,00 zł, czyli zaspokojenie 96.37% sumy wierzytelności. Spłata nastąpi w 24 miesięcznych ratach o wysokości 22 500,00 zł. </w:t>
      </w:r>
    </w:p>
    <w:p w14:paraId="18F28BCF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2BEA4A42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47EA2E72" w14:textId="77777777">
        <w:tc>
          <w:tcPr>
            <w:tcW w:w="2160" w:type="dxa"/>
          </w:tcPr>
          <w:p w14:paraId="562F9972" w14:textId="77777777" w:rsidR="009121EC" w:rsidRDefault="00000000">
            <w:r>
              <w:t>Początkowa kwota wierzytelności</w:t>
            </w:r>
          </w:p>
        </w:tc>
        <w:tc>
          <w:tcPr>
            <w:tcW w:w="2160" w:type="dxa"/>
          </w:tcPr>
          <w:p w14:paraId="7B1E9196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5EC42C43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26E30173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6DBB5CF6" w14:textId="77777777" w:rsidR="009121EC" w:rsidRDefault="00000000">
            <w:r>
              <w:t>Całkowity stopień zaspokojenia po korekcie inflacyjnej</w:t>
            </w:r>
          </w:p>
        </w:tc>
      </w:tr>
      <w:tr w:rsidR="009121EC" w14:paraId="5B63627F" w14:textId="77777777">
        <w:tc>
          <w:tcPr>
            <w:tcW w:w="2160" w:type="dxa"/>
          </w:tcPr>
          <w:p w14:paraId="7E04A699" w14:textId="77777777" w:rsidR="009121EC" w:rsidRDefault="00000000">
            <w:r>
              <w:t>560 333,00 zł</w:t>
            </w:r>
          </w:p>
        </w:tc>
        <w:tc>
          <w:tcPr>
            <w:tcW w:w="2160" w:type="dxa"/>
          </w:tcPr>
          <w:p w14:paraId="13783DF6" w14:textId="77777777" w:rsidR="009121EC" w:rsidRDefault="00000000">
            <w:r>
              <w:t>540 000,00 zł</w:t>
            </w:r>
          </w:p>
        </w:tc>
        <w:tc>
          <w:tcPr>
            <w:tcW w:w="2160" w:type="dxa"/>
          </w:tcPr>
          <w:p w14:paraId="06EDBBF2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694FE184" w14:textId="77777777" w:rsidR="009121EC" w:rsidRDefault="00000000">
            <w:r>
              <w:t>96.37%</w:t>
            </w:r>
          </w:p>
        </w:tc>
        <w:tc>
          <w:tcPr>
            <w:tcW w:w="2160" w:type="dxa"/>
          </w:tcPr>
          <w:p w14:paraId="388B8468" w14:textId="77777777" w:rsidR="009121EC" w:rsidRDefault="00000000">
            <w:r>
              <w:t>90.14%</w:t>
            </w:r>
          </w:p>
        </w:tc>
      </w:tr>
    </w:tbl>
    <w:p w14:paraId="0EC67E60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68B6A444" w14:textId="77777777">
        <w:tc>
          <w:tcPr>
            <w:tcW w:w="2160" w:type="dxa"/>
          </w:tcPr>
          <w:p w14:paraId="6FEAF35A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2386B2AB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0180FE0D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4C9EE77A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07231A5A" w14:textId="77777777" w:rsidR="009121EC" w:rsidRDefault="00000000">
            <w:r>
              <w:t>Estymowany stopień zaspokojenia w przypadku upadłości</w:t>
            </w:r>
          </w:p>
        </w:tc>
      </w:tr>
      <w:tr w:rsidR="009121EC" w14:paraId="108DA2DF" w14:textId="77777777">
        <w:tc>
          <w:tcPr>
            <w:tcW w:w="2160" w:type="dxa"/>
          </w:tcPr>
          <w:p w14:paraId="41C8C009" w14:textId="77777777" w:rsidR="009121EC" w:rsidRDefault="00000000">
            <w:r>
              <w:t>24</w:t>
            </w:r>
          </w:p>
        </w:tc>
        <w:tc>
          <w:tcPr>
            <w:tcW w:w="2160" w:type="dxa"/>
          </w:tcPr>
          <w:p w14:paraId="4D7BF25C" w14:textId="77777777" w:rsidR="009121EC" w:rsidRDefault="00000000">
            <w:r>
              <w:t>22 500,00 zł</w:t>
            </w:r>
          </w:p>
        </w:tc>
        <w:tc>
          <w:tcPr>
            <w:tcW w:w="2160" w:type="dxa"/>
          </w:tcPr>
          <w:p w14:paraId="270D8C24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4DC5F6F3" w14:textId="77777777" w:rsidR="009121EC" w:rsidRDefault="00000000">
            <w:r>
              <w:t>540 000,00 zł</w:t>
            </w:r>
          </w:p>
        </w:tc>
        <w:tc>
          <w:tcPr>
            <w:tcW w:w="2160" w:type="dxa"/>
          </w:tcPr>
          <w:p w14:paraId="3E9FB91F" w14:textId="77777777" w:rsidR="009121EC" w:rsidRDefault="00000000">
            <w:r>
              <w:t>(brak)</w:t>
            </w:r>
          </w:p>
        </w:tc>
      </w:tr>
    </w:tbl>
    <w:p w14:paraId="24ADF8DD" w14:textId="77777777" w:rsidR="009121EC" w:rsidRDefault="009121EC"/>
    <w:p w14:paraId="41310470" w14:textId="77777777" w:rsidR="009121EC" w:rsidRDefault="00000000">
      <w:r>
        <w:rPr>
          <w:b/>
        </w:rPr>
        <w:t>Harmonogram spłaty</w:t>
      </w:r>
    </w:p>
    <w:p w14:paraId="1084017A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20DC1B43" w14:textId="77777777">
        <w:tc>
          <w:tcPr>
            <w:tcW w:w="5400" w:type="dxa"/>
          </w:tcPr>
          <w:p w14:paraId="33394F0E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389AAC98" w14:textId="77777777" w:rsidR="009121EC" w:rsidRDefault="00000000">
            <w:r>
              <w:t>Miesiąc 1-24</w:t>
            </w:r>
          </w:p>
        </w:tc>
      </w:tr>
      <w:tr w:rsidR="009121EC" w14:paraId="49630007" w14:textId="77777777">
        <w:tc>
          <w:tcPr>
            <w:tcW w:w="5400" w:type="dxa"/>
          </w:tcPr>
          <w:p w14:paraId="370E9D3A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46B28346" w14:textId="77777777" w:rsidR="009121EC" w:rsidRDefault="00000000">
            <w:r>
              <w:t>22 500,00 zł</w:t>
            </w:r>
          </w:p>
        </w:tc>
      </w:tr>
    </w:tbl>
    <w:p w14:paraId="7604E016" w14:textId="77777777" w:rsidR="009121EC" w:rsidRDefault="009121EC"/>
    <w:p w14:paraId="34159A23" w14:textId="77777777" w:rsidR="009121EC" w:rsidRDefault="00000000">
      <w:pPr>
        <w:pStyle w:val="Heading2"/>
      </w:pPr>
      <w:bookmarkStart w:id="11" w:name="_Toc199495650"/>
      <w:r>
        <w:t>ORLEN AVIATION sp. z o.o., Warszawa</w:t>
      </w:r>
      <w:bookmarkEnd w:id="11"/>
    </w:p>
    <w:p w14:paraId="3BC70B01" w14:textId="77777777" w:rsidR="009121EC" w:rsidRDefault="00000000">
      <w:r>
        <w:t>Orlen</w:t>
      </w:r>
    </w:p>
    <w:p w14:paraId="5DFDFA7B" w14:textId="77777777" w:rsidR="009121EC" w:rsidRDefault="00000000">
      <w:r>
        <w:lastRenderedPageBreak/>
        <w:t xml:space="preserve">Wierzyciel otrzyma łącznie kwotę 1 904 908,08 zł, czyli zaspokojenie 96.91% sumy wierzytelności. Spłata nastąpi w 24 miesięcznych ratach o wysokości 79 371,17 zł. </w:t>
      </w:r>
    </w:p>
    <w:p w14:paraId="737F27B5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70234196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66F46E3B" w14:textId="77777777">
        <w:tc>
          <w:tcPr>
            <w:tcW w:w="2160" w:type="dxa"/>
          </w:tcPr>
          <w:p w14:paraId="13981AD8" w14:textId="77777777" w:rsidR="009121EC" w:rsidRDefault="00000000">
            <w:r>
              <w:t>Początkowa kwota wierzytelności</w:t>
            </w:r>
          </w:p>
        </w:tc>
        <w:tc>
          <w:tcPr>
            <w:tcW w:w="2160" w:type="dxa"/>
          </w:tcPr>
          <w:p w14:paraId="4D4A93FB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411BD0E9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632A547B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69F7EAB7" w14:textId="77777777" w:rsidR="009121EC" w:rsidRDefault="00000000">
            <w:r>
              <w:t>Całkowity stopień zaspokojenia po korekcie inflacyjnej</w:t>
            </w:r>
          </w:p>
        </w:tc>
      </w:tr>
      <w:tr w:rsidR="009121EC" w14:paraId="660E8668" w14:textId="77777777">
        <w:tc>
          <w:tcPr>
            <w:tcW w:w="2160" w:type="dxa"/>
          </w:tcPr>
          <w:p w14:paraId="4A35C206" w14:textId="77777777" w:rsidR="009121EC" w:rsidRDefault="00000000">
            <w:r>
              <w:t>1 965 690,00 zł</w:t>
            </w:r>
          </w:p>
        </w:tc>
        <w:tc>
          <w:tcPr>
            <w:tcW w:w="2160" w:type="dxa"/>
          </w:tcPr>
          <w:p w14:paraId="0B612BF0" w14:textId="77777777" w:rsidR="009121EC" w:rsidRDefault="00000000">
            <w:r>
              <w:t>1 904 908,00 zł</w:t>
            </w:r>
          </w:p>
        </w:tc>
        <w:tc>
          <w:tcPr>
            <w:tcW w:w="2160" w:type="dxa"/>
          </w:tcPr>
          <w:p w14:paraId="29DF3BCE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7406085A" w14:textId="77777777" w:rsidR="009121EC" w:rsidRDefault="00000000">
            <w:r>
              <w:t>96.91%</w:t>
            </w:r>
          </w:p>
        </w:tc>
        <w:tc>
          <w:tcPr>
            <w:tcW w:w="2160" w:type="dxa"/>
          </w:tcPr>
          <w:p w14:paraId="267B5F94" w14:textId="77777777" w:rsidR="009121EC" w:rsidRDefault="00000000">
            <w:r>
              <w:t>90.64%</w:t>
            </w:r>
          </w:p>
        </w:tc>
      </w:tr>
    </w:tbl>
    <w:p w14:paraId="56473539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594002C8" w14:textId="77777777">
        <w:tc>
          <w:tcPr>
            <w:tcW w:w="2160" w:type="dxa"/>
          </w:tcPr>
          <w:p w14:paraId="04D1A5B3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79CE7D45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01A8B795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409777D1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0DDC589C" w14:textId="77777777" w:rsidR="009121EC" w:rsidRDefault="00000000">
            <w:r>
              <w:t>Estymowany stopień zaspokojenia w przypadku upadłości</w:t>
            </w:r>
          </w:p>
        </w:tc>
      </w:tr>
      <w:tr w:rsidR="009121EC" w14:paraId="6B8F44A6" w14:textId="77777777">
        <w:tc>
          <w:tcPr>
            <w:tcW w:w="2160" w:type="dxa"/>
          </w:tcPr>
          <w:p w14:paraId="07B78FA5" w14:textId="77777777" w:rsidR="009121EC" w:rsidRDefault="00000000">
            <w:r>
              <w:t>24</w:t>
            </w:r>
          </w:p>
        </w:tc>
        <w:tc>
          <w:tcPr>
            <w:tcW w:w="2160" w:type="dxa"/>
          </w:tcPr>
          <w:p w14:paraId="280E7061" w14:textId="77777777" w:rsidR="009121EC" w:rsidRDefault="00000000">
            <w:r>
              <w:t>79 371,17 zł</w:t>
            </w:r>
          </w:p>
        </w:tc>
        <w:tc>
          <w:tcPr>
            <w:tcW w:w="2160" w:type="dxa"/>
          </w:tcPr>
          <w:p w14:paraId="4CF9FEFF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2DB85A99" w14:textId="77777777" w:rsidR="009121EC" w:rsidRDefault="00000000">
            <w:r>
              <w:t>1 904 908,08 zł</w:t>
            </w:r>
          </w:p>
        </w:tc>
        <w:tc>
          <w:tcPr>
            <w:tcW w:w="2160" w:type="dxa"/>
          </w:tcPr>
          <w:p w14:paraId="147870E2" w14:textId="77777777" w:rsidR="009121EC" w:rsidRDefault="00000000">
            <w:r>
              <w:t>(brak)</w:t>
            </w:r>
          </w:p>
        </w:tc>
      </w:tr>
    </w:tbl>
    <w:p w14:paraId="72497722" w14:textId="77777777" w:rsidR="009121EC" w:rsidRDefault="009121EC"/>
    <w:p w14:paraId="076C43AC" w14:textId="77777777" w:rsidR="009121EC" w:rsidRDefault="00000000">
      <w:r>
        <w:rPr>
          <w:b/>
        </w:rPr>
        <w:t>Harmonogram spłaty</w:t>
      </w:r>
    </w:p>
    <w:p w14:paraId="5F6CDBC0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543C9DAD" w14:textId="77777777">
        <w:tc>
          <w:tcPr>
            <w:tcW w:w="5400" w:type="dxa"/>
          </w:tcPr>
          <w:p w14:paraId="6E372C6A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55AFCC47" w14:textId="77777777" w:rsidR="009121EC" w:rsidRDefault="00000000">
            <w:r>
              <w:t>Miesiąc 1-24</w:t>
            </w:r>
          </w:p>
        </w:tc>
      </w:tr>
      <w:tr w:rsidR="009121EC" w14:paraId="3E01B6B7" w14:textId="77777777">
        <w:tc>
          <w:tcPr>
            <w:tcW w:w="5400" w:type="dxa"/>
          </w:tcPr>
          <w:p w14:paraId="3479E68A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438E1D2A" w14:textId="77777777" w:rsidR="009121EC" w:rsidRDefault="00000000">
            <w:r>
              <w:t>79 371,17 zł</w:t>
            </w:r>
          </w:p>
        </w:tc>
      </w:tr>
    </w:tbl>
    <w:p w14:paraId="62CB57E1" w14:textId="77777777" w:rsidR="009121EC" w:rsidRDefault="009121EC"/>
    <w:p w14:paraId="2DF744EE" w14:textId="77777777" w:rsidR="009121EC" w:rsidRDefault="00000000">
      <w:r>
        <w:br w:type="page"/>
      </w:r>
    </w:p>
    <w:p w14:paraId="021C3169" w14:textId="77777777" w:rsidR="009121EC" w:rsidRDefault="00000000">
      <w:pPr>
        <w:pStyle w:val="Heading1"/>
      </w:pPr>
      <w:bookmarkStart w:id="12" w:name="_Toc199495651"/>
      <w:r>
        <w:lastRenderedPageBreak/>
        <w:t>Grupa 3: Leasingi</w:t>
      </w:r>
      <w:bookmarkEnd w:id="12"/>
    </w:p>
    <w:p w14:paraId="0EA03F8C" w14:textId="77777777" w:rsidR="009121EC" w:rsidRDefault="00000000">
      <w:r>
        <w:rPr>
          <w:b/>
        </w:rPr>
        <w:t>Wierzyciele którym przysługują wierzytelności z tytułu umów leasingu.</w:t>
      </w:r>
    </w:p>
    <w:p w14:paraId="34B28C65" w14:textId="77777777" w:rsidR="009121EC" w:rsidRDefault="009121EC"/>
    <w:p w14:paraId="40C0C174" w14:textId="77777777" w:rsidR="009121EC" w:rsidRDefault="00000000">
      <w:r>
        <w:t xml:space="preserve">Zaspokojenie 83.33% sumy wierzytelności poprzez spłatę w 24 równych ratach płatnych co miesiąc. </w:t>
      </w:r>
    </w:p>
    <w:p w14:paraId="3DCA52E9" w14:textId="77777777" w:rsidR="009121EC" w:rsidRDefault="00000000">
      <w:r>
        <w:t>Termin płatności pierwszej raty przypada na ostatni dzień miesiąca następującego po miesiącu, w którym Sąd obwieści o uprawomocnieniu się postanowienia Sądu o zatwierdzeniu układu.</w:t>
      </w:r>
    </w:p>
    <w:p w14:paraId="15DB9155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4D893839" w14:textId="77777777">
        <w:tc>
          <w:tcPr>
            <w:tcW w:w="2160" w:type="dxa"/>
          </w:tcPr>
          <w:p w14:paraId="236337CE" w14:textId="77777777" w:rsidR="009121EC" w:rsidRDefault="00000000">
            <w:r>
              <w:t>Całkowita kwota wierzytelności</w:t>
            </w:r>
          </w:p>
        </w:tc>
        <w:tc>
          <w:tcPr>
            <w:tcW w:w="2160" w:type="dxa"/>
          </w:tcPr>
          <w:p w14:paraId="3060B014" w14:textId="77777777" w:rsidR="009121EC" w:rsidRDefault="00000000">
            <w:r>
              <w:t>W tym należności głównych</w:t>
            </w:r>
          </w:p>
        </w:tc>
        <w:tc>
          <w:tcPr>
            <w:tcW w:w="2160" w:type="dxa"/>
          </w:tcPr>
          <w:p w14:paraId="084FCBBB" w14:textId="77777777" w:rsidR="009121EC" w:rsidRDefault="00000000">
            <w:r>
              <w:t>Stopień umorzenia należności głównych</w:t>
            </w:r>
          </w:p>
        </w:tc>
        <w:tc>
          <w:tcPr>
            <w:tcW w:w="2160" w:type="dxa"/>
          </w:tcPr>
          <w:p w14:paraId="78477DF3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69B7DC3E" w14:textId="77777777" w:rsidR="009121EC" w:rsidRDefault="00000000">
            <w:r>
              <w:t>Całkowity stopień zaspokojenia po korekcie inflacyjnej</w:t>
            </w:r>
          </w:p>
        </w:tc>
      </w:tr>
      <w:tr w:rsidR="009121EC" w14:paraId="7EF1837F" w14:textId="77777777">
        <w:tc>
          <w:tcPr>
            <w:tcW w:w="2160" w:type="dxa"/>
          </w:tcPr>
          <w:p w14:paraId="243ECCA8" w14:textId="77777777" w:rsidR="009121EC" w:rsidRDefault="00000000">
            <w:r>
              <w:t>12 000,00 zł</w:t>
            </w:r>
          </w:p>
        </w:tc>
        <w:tc>
          <w:tcPr>
            <w:tcW w:w="2160" w:type="dxa"/>
          </w:tcPr>
          <w:p w14:paraId="183E1CBB" w14:textId="77777777" w:rsidR="009121EC" w:rsidRDefault="00000000">
            <w:r>
              <w:t>10 000,00 zł</w:t>
            </w:r>
          </w:p>
        </w:tc>
        <w:tc>
          <w:tcPr>
            <w:tcW w:w="2160" w:type="dxa"/>
          </w:tcPr>
          <w:p w14:paraId="21E0E14A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4B2FA5EE" w14:textId="77777777" w:rsidR="009121EC" w:rsidRDefault="00000000">
            <w:r>
              <w:t>83.33%</w:t>
            </w:r>
          </w:p>
        </w:tc>
        <w:tc>
          <w:tcPr>
            <w:tcW w:w="2160" w:type="dxa"/>
          </w:tcPr>
          <w:p w14:paraId="7DFD7153" w14:textId="77777777" w:rsidR="009121EC" w:rsidRDefault="00000000">
            <w:r>
              <w:t>77.95%</w:t>
            </w:r>
          </w:p>
        </w:tc>
      </w:tr>
    </w:tbl>
    <w:p w14:paraId="124E9334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8"/>
        <w:gridCol w:w="2159"/>
        <w:gridCol w:w="2158"/>
      </w:tblGrid>
      <w:tr w:rsidR="009121EC" w14:paraId="586EF1A0" w14:textId="77777777">
        <w:tc>
          <w:tcPr>
            <w:tcW w:w="2160" w:type="dxa"/>
          </w:tcPr>
          <w:p w14:paraId="6B71F34D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0D8FC0C5" w14:textId="77777777" w:rsidR="009121EC" w:rsidRDefault="00000000">
            <w:r>
              <w:t>Pierwsza rata</w:t>
            </w:r>
          </w:p>
        </w:tc>
        <w:tc>
          <w:tcPr>
            <w:tcW w:w="2160" w:type="dxa"/>
          </w:tcPr>
          <w:p w14:paraId="5EE2F957" w14:textId="77777777" w:rsidR="009121EC" w:rsidRDefault="00000000">
            <w:r>
              <w:t>Maksymalna kwota miesięcznej raty</w:t>
            </w:r>
          </w:p>
        </w:tc>
        <w:tc>
          <w:tcPr>
            <w:tcW w:w="2160" w:type="dxa"/>
          </w:tcPr>
          <w:p w14:paraId="44846C27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2735DD13" w14:textId="77777777" w:rsidR="009121EC" w:rsidRDefault="00000000">
            <w:r>
              <w:t>Łączna kwota spłaty kapitału</w:t>
            </w:r>
          </w:p>
        </w:tc>
      </w:tr>
      <w:tr w:rsidR="009121EC" w14:paraId="44F8A8F3" w14:textId="77777777">
        <w:tc>
          <w:tcPr>
            <w:tcW w:w="2160" w:type="dxa"/>
          </w:tcPr>
          <w:p w14:paraId="33386B28" w14:textId="77777777" w:rsidR="009121EC" w:rsidRDefault="00000000">
            <w:r>
              <w:t>24</w:t>
            </w:r>
          </w:p>
        </w:tc>
        <w:tc>
          <w:tcPr>
            <w:tcW w:w="2160" w:type="dxa"/>
          </w:tcPr>
          <w:p w14:paraId="1673A3D1" w14:textId="77777777" w:rsidR="009121EC" w:rsidRDefault="00000000">
            <w:r>
              <w:t>416,67 zł</w:t>
            </w:r>
          </w:p>
        </w:tc>
        <w:tc>
          <w:tcPr>
            <w:tcW w:w="2160" w:type="dxa"/>
          </w:tcPr>
          <w:p w14:paraId="6D604AEF" w14:textId="77777777" w:rsidR="009121EC" w:rsidRDefault="00000000">
            <w:r>
              <w:t>416,67 zł</w:t>
            </w:r>
          </w:p>
        </w:tc>
        <w:tc>
          <w:tcPr>
            <w:tcW w:w="2160" w:type="dxa"/>
          </w:tcPr>
          <w:p w14:paraId="2227B401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68314388" w14:textId="77777777" w:rsidR="009121EC" w:rsidRDefault="00000000">
            <w:r>
              <w:t>10 000,00 zł</w:t>
            </w:r>
          </w:p>
        </w:tc>
      </w:tr>
    </w:tbl>
    <w:p w14:paraId="12764560" w14:textId="77777777" w:rsidR="009121EC" w:rsidRDefault="009121EC"/>
    <w:p w14:paraId="5E503835" w14:textId="77777777" w:rsidR="009121EC" w:rsidRDefault="00000000">
      <w:r>
        <w:rPr>
          <w:noProof/>
        </w:rPr>
        <w:drawing>
          <wp:inline distT="0" distB="0" distL="0" distR="0" wp14:anchorId="6F8BA9A8" wp14:editId="5BF891A2">
            <wp:extent cx="6840000" cy="141068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410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893C45" w14:textId="77777777" w:rsidR="009121EC" w:rsidRDefault="00000000">
      <w:r>
        <w:t xml:space="preserve">Wykres przedstawia wartości wierzytelności każdego z wierzycieli przynależnych do grupy. Kolorami wyróżniono sumę należności głównych, odsetek i wierzytelności ubocznych. Wartości przedstawiają zobowiązania na dzień rozpoczęcia postępowania, przed umorzeniami. </w:t>
      </w:r>
    </w:p>
    <w:p w14:paraId="19D9F5F1" w14:textId="77777777" w:rsidR="009121EC" w:rsidRDefault="00000000">
      <w:r>
        <w:rPr>
          <w:b/>
        </w:rPr>
        <w:t>Poniżej przedstawiono szczegóły Propozycji dla każdego z wierzycieli należących do tej grupy.</w:t>
      </w:r>
    </w:p>
    <w:p w14:paraId="59BCCDFB" w14:textId="77777777" w:rsidR="009121EC" w:rsidRDefault="009121EC"/>
    <w:p w14:paraId="3B36EF33" w14:textId="77777777" w:rsidR="009121EC" w:rsidRDefault="00000000">
      <w:pPr>
        <w:pStyle w:val="Heading2"/>
      </w:pPr>
      <w:bookmarkStart w:id="13" w:name="_Toc199495652"/>
      <w:r>
        <w:t>LOTOS BIOPALIWA sp. z o.o., Czechowice-Dziedzice</w:t>
      </w:r>
      <w:bookmarkEnd w:id="13"/>
    </w:p>
    <w:p w14:paraId="45834946" w14:textId="77777777" w:rsidR="009121EC" w:rsidRDefault="00000000">
      <w:r>
        <w:t>Lotos</w:t>
      </w:r>
    </w:p>
    <w:p w14:paraId="589EE2C9" w14:textId="77777777" w:rsidR="009121EC" w:rsidRDefault="00000000">
      <w:r>
        <w:t xml:space="preserve">Wierzyciel otrzyma łącznie kwotę 10 000,08 zł, czyli zaspokojenie 83.33% sumy wierzytelności. Spłata nastąpi w 24 miesięcznych ratach o wysokości 416,67 zł. </w:t>
      </w:r>
    </w:p>
    <w:p w14:paraId="626F297C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5D976C89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6A5C9C3A" w14:textId="77777777">
        <w:tc>
          <w:tcPr>
            <w:tcW w:w="2160" w:type="dxa"/>
          </w:tcPr>
          <w:p w14:paraId="152BB297" w14:textId="77777777" w:rsidR="009121EC" w:rsidRDefault="00000000">
            <w:r>
              <w:t>Początkowa kwota wierzytelności</w:t>
            </w:r>
          </w:p>
        </w:tc>
        <w:tc>
          <w:tcPr>
            <w:tcW w:w="2160" w:type="dxa"/>
          </w:tcPr>
          <w:p w14:paraId="486F1722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68D749BE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2634E86C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56C54E60" w14:textId="77777777" w:rsidR="009121EC" w:rsidRDefault="00000000">
            <w:r>
              <w:t>Całkowity stopień zaspokojenia po korekcie inflacyjnej</w:t>
            </w:r>
          </w:p>
        </w:tc>
      </w:tr>
      <w:tr w:rsidR="009121EC" w14:paraId="50B6C99F" w14:textId="77777777">
        <w:tc>
          <w:tcPr>
            <w:tcW w:w="2160" w:type="dxa"/>
          </w:tcPr>
          <w:p w14:paraId="7DE257B9" w14:textId="77777777" w:rsidR="009121EC" w:rsidRDefault="00000000">
            <w:r>
              <w:lastRenderedPageBreak/>
              <w:t>12 000,00 zł</w:t>
            </w:r>
          </w:p>
        </w:tc>
        <w:tc>
          <w:tcPr>
            <w:tcW w:w="2160" w:type="dxa"/>
          </w:tcPr>
          <w:p w14:paraId="6F4C61AB" w14:textId="77777777" w:rsidR="009121EC" w:rsidRDefault="00000000">
            <w:r>
              <w:t>10 000,00 zł</w:t>
            </w:r>
          </w:p>
        </w:tc>
        <w:tc>
          <w:tcPr>
            <w:tcW w:w="2160" w:type="dxa"/>
          </w:tcPr>
          <w:p w14:paraId="604BDAED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591A8F09" w14:textId="77777777" w:rsidR="009121EC" w:rsidRDefault="00000000">
            <w:r>
              <w:t>83.33%</w:t>
            </w:r>
          </w:p>
        </w:tc>
        <w:tc>
          <w:tcPr>
            <w:tcW w:w="2160" w:type="dxa"/>
          </w:tcPr>
          <w:p w14:paraId="6AEE3D69" w14:textId="77777777" w:rsidR="009121EC" w:rsidRDefault="00000000">
            <w:r>
              <w:t>77.95%</w:t>
            </w:r>
          </w:p>
        </w:tc>
      </w:tr>
    </w:tbl>
    <w:p w14:paraId="0F61C8EF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55A44750" w14:textId="77777777">
        <w:tc>
          <w:tcPr>
            <w:tcW w:w="2160" w:type="dxa"/>
          </w:tcPr>
          <w:p w14:paraId="35662914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2B42BD35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3A616508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456DC863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1FAD47B2" w14:textId="77777777" w:rsidR="009121EC" w:rsidRDefault="00000000">
            <w:r>
              <w:t>Estymowany stopień zaspokojenia w przypadku upadłości</w:t>
            </w:r>
          </w:p>
        </w:tc>
      </w:tr>
      <w:tr w:rsidR="009121EC" w14:paraId="4C16B8D6" w14:textId="77777777">
        <w:tc>
          <w:tcPr>
            <w:tcW w:w="2160" w:type="dxa"/>
          </w:tcPr>
          <w:p w14:paraId="1A50A520" w14:textId="77777777" w:rsidR="009121EC" w:rsidRDefault="00000000">
            <w:r>
              <w:t>24</w:t>
            </w:r>
          </w:p>
        </w:tc>
        <w:tc>
          <w:tcPr>
            <w:tcW w:w="2160" w:type="dxa"/>
          </w:tcPr>
          <w:p w14:paraId="22DB8708" w14:textId="77777777" w:rsidR="009121EC" w:rsidRDefault="00000000">
            <w:r>
              <w:t>416,67 zł</w:t>
            </w:r>
          </w:p>
        </w:tc>
        <w:tc>
          <w:tcPr>
            <w:tcW w:w="2160" w:type="dxa"/>
          </w:tcPr>
          <w:p w14:paraId="5AD7FF8B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2B7355D5" w14:textId="77777777" w:rsidR="009121EC" w:rsidRDefault="00000000">
            <w:r>
              <w:t>10 000,08 zł</w:t>
            </w:r>
          </w:p>
        </w:tc>
        <w:tc>
          <w:tcPr>
            <w:tcW w:w="2160" w:type="dxa"/>
          </w:tcPr>
          <w:p w14:paraId="02B09A29" w14:textId="77777777" w:rsidR="009121EC" w:rsidRDefault="00000000">
            <w:r>
              <w:t>(brak)</w:t>
            </w:r>
          </w:p>
        </w:tc>
      </w:tr>
    </w:tbl>
    <w:p w14:paraId="1EBDCE73" w14:textId="77777777" w:rsidR="009121EC" w:rsidRDefault="009121EC"/>
    <w:p w14:paraId="72A5E10C" w14:textId="77777777" w:rsidR="009121EC" w:rsidRDefault="00000000">
      <w:r>
        <w:rPr>
          <w:b/>
        </w:rPr>
        <w:t>Harmonogram spłaty</w:t>
      </w:r>
    </w:p>
    <w:p w14:paraId="60B7904E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5606078D" w14:textId="77777777">
        <w:tc>
          <w:tcPr>
            <w:tcW w:w="5400" w:type="dxa"/>
          </w:tcPr>
          <w:p w14:paraId="7D27DF6B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7DB2F8F7" w14:textId="77777777" w:rsidR="009121EC" w:rsidRDefault="00000000">
            <w:r>
              <w:t>Miesiąc 1-24</w:t>
            </w:r>
          </w:p>
        </w:tc>
      </w:tr>
      <w:tr w:rsidR="009121EC" w14:paraId="714CB201" w14:textId="77777777">
        <w:tc>
          <w:tcPr>
            <w:tcW w:w="5400" w:type="dxa"/>
          </w:tcPr>
          <w:p w14:paraId="405C94BF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3AC34C23" w14:textId="77777777" w:rsidR="009121EC" w:rsidRDefault="00000000">
            <w:r>
              <w:t>416,67 zł</w:t>
            </w:r>
          </w:p>
        </w:tc>
      </w:tr>
    </w:tbl>
    <w:p w14:paraId="2655C1A8" w14:textId="77777777" w:rsidR="009121EC" w:rsidRDefault="009121EC"/>
    <w:p w14:paraId="42F31615" w14:textId="77777777" w:rsidR="009121EC" w:rsidRDefault="00000000">
      <w:r>
        <w:br w:type="page"/>
      </w:r>
    </w:p>
    <w:p w14:paraId="02A30B7C" w14:textId="77777777" w:rsidR="009121EC" w:rsidRDefault="00000000">
      <w:pPr>
        <w:pStyle w:val="Heading1"/>
      </w:pPr>
      <w:bookmarkStart w:id="14" w:name="_Toc199495653"/>
      <w:r>
        <w:lastRenderedPageBreak/>
        <w:t>Grupa 4: Powyżej 200 tys.</w:t>
      </w:r>
      <w:bookmarkEnd w:id="14"/>
    </w:p>
    <w:p w14:paraId="43FC3E15" w14:textId="77777777" w:rsidR="009121EC" w:rsidRDefault="00000000">
      <w:r>
        <w:rPr>
          <w:b/>
        </w:rPr>
        <w:t>Wierzyciele którym przysługuje wierzytelność na dzień układowy w kwocie wyższej niż 200.000,00 zł niezaliczeni do innych grup wierzycieli.</w:t>
      </w:r>
    </w:p>
    <w:p w14:paraId="3EE681A6" w14:textId="77777777" w:rsidR="009121EC" w:rsidRDefault="009121EC"/>
    <w:p w14:paraId="2C089BDE" w14:textId="77777777" w:rsidR="009121EC" w:rsidRDefault="00000000">
      <w:r>
        <w:t xml:space="preserve">Zaspokojenie 77.52% sumy wierzytelności poprzez spłatę w 96 równych ratach płatnych co miesiąc. </w:t>
      </w:r>
    </w:p>
    <w:p w14:paraId="61504FF7" w14:textId="77777777" w:rsidR="009121EC" w:rsidRDefault="00000000">
      <w:r>
        <w:t>Termin płatności pierwszej raty przypada na ostatni dzień miesiąca następującego po miesiącu, w którym Sąd obwieści o uprawomocnieniu się postanowienia Sądu o zatwierdzeniu układu.</w:t>
      </w:r>
    </w:p>
    <w:p w14:paraId="61189909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64B297F5" w14:textId="77777777">
        <w:tc>
          <w:tcPr>
            <w:tcW w:w="2160" w:type="dxa"/>
          </w:tcPr>
          <w:p w14:paraId="07B3D41A" w14:textId="77777777" w:rsidR="009121EC" w:rsidRDefault="00000000">
            <w:r>
              <w:t>Całkowita kwota wierzytelności</w:t>
            </w:r>
          </w:p>
        </w:tc>
        <w:tc>
          <w:tcPr>
            <w:tcW w:w="2160" w:type="dxa"/>
          </w:tcPr>
          <w:p w14:paraId="18DC9727" w14:textId="77777777" w:rsidR="009121EC" w:rsidRDefault="00000000">
            <w:r>
              <w:t>W tym należności głównych</w:t>
            </w:r>
          </w:p>
        </w:tc>
        <w:tc>
          <w:tcPr>
            <w:tcW w:w="2160" w:type="dxa"/>
          </w:tcPr>
          <w:p w14:paraId="619F855D" w14:textId="77777777" w:rsidR="009121EC" w:rsidRDefault="00000000">
            <w:r>
              <w:t>Stopień umorzenia należności głównych</w:t>
            </w:r>
          </w:p>
        </w:tc>
        <w:tc>
          <w:tcPr>
            <w:tcW w:w="2160" w:type="dxa"/>
          </w:tcPr>
          <w:p w14:paraId="3FCC2497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15A48C99" w14:textId="77777777" w:rsidR="009121EC" w:rsidRDefault="00000000">
            <w:r>
              <w:t>Całkowity stopień zaspokojenia po korekcie inflacyjnej</w:t>
            </w:r>
          </w:p>
        </w:tc>
      </w:tr>
      <w:tr w:rsidR="009121EC" w14:paraId="0DC1E62B" w14:textId="77777777">
        <w:tc>
          <w:tcPr>
            <w:tcW w:w="2160" w:type="dxa"/>
          </w:tcPr>
          <w:p w14:paraId="327C6BB2" w14:textId="77777777" w:rsidR="009121EC" w:rsidRDefault="00000000">
            <w:r>
              <w:t>103 323,00 zł</w:t>
            </w:r>
          </w:p>
        </w:tc>
        <w:tc>
          <w:tcPr>
            <w:tcW w:w="2160" w:type="dxa"/>
          </w:tcPr>
          <w:p w14:paraId="6A3C4F66" w14:textId="77777777" w:rsidR="009121EC" w:rsidRDefault="00000000">
            <w:r>
              <w:t>89 000,00 zł</w:t>
            </w:r>
          </w:p>
        </w:tc>
        <w:tc>
          <w:tcPr>
            <w:tcW w:w="2160" w:type="dxa"/>
          </w:tcPr>
          <w:p w14:paraId="26BEDDB0" w14:textId="77777777" w:rsidR="009121EC" w:rsidRDefault="00000000">
            <w:r>
              <w:t>10%</w:t>
            </w:r>
          </w:p>
        </w:tc>
        <w:tc>
          <w:tcPr>
            <w:tcW w:w="2160" w:type="dxa"/>
          </w:tcPr>
          <w:p w14:paraId="034B766B" w14:textId="77777777" w:rsidR="009121EC" w:rsidRDefault="00000000">
            <w:r>
              <w:t>77.52%</w:t>
            </w:r>
          </w:p>
        </w:tc>
        <w:tc>
          <w:tcPr>
            <w:tcW w:w="2160" w:type="dxa"/>
          </w:tcPr>
          <w:p w14:paraId="010A934F" w14:textId="77777777" w:rsidR="009121EC" w:rsidRDefault="00000000">
            <w:r>
              <w:t>60.33%</w:t>
            </w:r>
          </w:p>
        </w:tc>
      </w:tr>
    </w:tbl>
    <w:p w14:paraId="62A7A707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8"/>
        <w:gridCol w:w="2159"/>
        <w:gridCol w:w="2158"/>
      </w:tblGrid>
      <w:tr w:rsidR="009121EC" w14:paraId="24D42CB2" w14:textId="77777777">
        <w:tc>
          <w:tcPr>
            <w:tcW w:w="2160" w:type="dxa"/>
          </w:tcPr>
          <w:p w14:paraId="54BF9316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547A9359" w14:textId="77777777" w:rsidR="009121EC" w:rsidRDefault="00000000">
            <w:r>
              <w:t>Pierwsza rata</w:t>
            </w:r>
          </w:p>
        </w:tc>
        <w:tc>
          <w:tcPr>
            <w:tcW w:w="2160" w:type="dxa"/>
          </w:tcPr>
          <w:p w14:paraId="7D73ADCC" w14:textId="77777777" w:rsidR="009121EC" w:rsidRDefault="00000000">
            <w:r>
              <w:t>Maksymalna kwota miesięcznej raty</w:t>
            </w:r>
          </w:p>
        </w:tc>
        <w:tc>
          <w:tcPr>
            <w:tcW w:w="2160" w:type="dxa"/>
          </w:tcPr>
          <w:p w14:paraId="59DF5D99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6916A566" w14:textId="77777777" w:rsidR="009121EC" w:rsidRDefault="00000000">
            <w:r>
              <w:t>Łączna kwota spłaty kapitału</w:t>
            </w:r>
          </w:p>
        </w:tc>
      </w:tr>
      <w:tr w:rsidR="009121EC" w14:paraId="0A807CD0" w14:textId="77777777">
        <w:tc>
          <w:tcPr>
            <w:tcW w:w="2160" w:type="dxa"/>
          </w:tcPr>
          <w:p w14:paraId="7AC37F0E" w14:textId="77777777" w:rsidR="009121EC" w:rsidRDefault="00000000">
            <w:r>
              <w:t>96</w:t>
            </w:r>
          </w:p>
        </w:tc>
        <w:tc>
          <w:tcPr>
            <w:tcW w:w="2160" w:type="dxa"/>
          </w:tcPr>
          <w:p w14:paraId="38EE267C" w14:textId="77777777" w:rsidR="009121EC" w:rsidRDefault="00000000">
            <w:r>
              <w:t>834,38 zł</w:t>
            </w:r>
          </w:p>
        </w:tc>
        <w:tc>
          <w:tcPr>
            <w:tcW w:w="2160" w:type="dxa"/>
          </w:tcPr>
          <w:p w14:paraId="23473A31" w14:textId="77777777" w:rsidR="009121EC" w:rsidRDefault="00000000">
            <w:r>
              <w:t>834,38 zł</w:t>
            </w:r>
          </w:p>
        </w:tc>
        <w:tc>
          <w:tcPr>
            <w:tcW w:w="2160" w:type="dxa"/>
          </w:tcPr>
          <w:p w14:paraId="7E9026CA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7B2D0E0A" w14:textId="77777777" w:rsidR="009121EC" w:rsidRDefault="00000000">
            <w:r>
              <w:t>80 100,00 zł</w:t>
            </w:r>
          </w:p>
        </w:tc>
      </w:tr>
    </w:tbl>
    <w:p w14:paraId="7E40EFAE" w14:textId="77777777" w:rsidR="009121EC" w:rsidRDefault="009121EC"/>
    <w:p w14:paraId="1C37E84A" w14:textId="77777777" w:rsidR="009121EC" w:rsidRDefault="00000000">
      <w:r>
        <w:rPr>
          <w:noProof/>
        </w:rPr>
        <w:drawing>
          <wp:inline distT="0" distB="0" distL="0" distR="0" wp14:anchorId="69F7DA93" wp14:editId="64893ABA">
            <wp:extent cx="6840000" cy="1427388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40000" cy="14273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71EF3" w14:textId="77777777" w:rsidR="009121EC" w:rsidRDefault="00000000">
      <w:r>
        <w:t xml:space="preserve">Wykres przedstawia wartości wierzytelności każdego z wierzycieli przynależnych do grupy. Kolorami wyróżniono sumę należności głównych, odsetek i wierzytelności ubocznych. Wartości przedstawiają zobowiązania na dzień rozpoczęcia postępowania, przed umorzeniami. </w:t>
      </w:r>
    </w:p>
    <w:p w14:paraId="02CB0F5F" w14:textId="77777777" w:rsidR="009121EC" w:rsidRDefault="00000000">
      <w:r>
        <w:rPr>
          <w:b/>
        </w:rPr>
        <w:t>Poniżej przedstawiono szczegóły Propozycji dla każdego z wierzycieli należących do tej grupy.</w:t>
      </w:r>
    </w:p>
    <w:p w14:paraId="431960BD" w14:textId="77777777" w:rsidR="009121EC" w:rsidRDefault="009121EC"/>
    <w:p w14:paraId="3FA11977" w14:textId="77777777" w:rsidR="009121EC" w:rsidRDefault="00000000">
      <w:pPr>
        <w:pStyle w:val="Heading2"/>
      </w:pPr>
      <w:bookmarkStart w:id="15" w:name="_Toc199495654"/>
      <w:r>
        <w:t>PKO LEASING S.A., Warszawa</w:t>
      </w:r>
      <w:bookmarkEnd w:id="15"/>
    </w:p>
    <w:p w14:paraId="225ABCCE" w14:textId="77777777" w:rsidR="009121EC" w:rsidRDefault="00000000">
      <w:r>
        <w:t>PKO</w:t>
      </w:r>
    </w:p>
    <w:p w14:paraId="0E09E4C2" w14:textId="77777777" w:rsidR="009121EC" w:rsidRDefault="00000000">
      <w:r>
        <w:t xml:space="preserve">Wierzyciel otrzyma łącznie kwotę 80 100,48 zł, czyli zaspokojenie 77.52% sumy wierzytelności. Spłata nastąpi w 96 miesięcznych ratach o wysokości 834,38 zł. </w:t>
      </w:r>
    </w:p>
    <w:p w14:paraId="2C99A99D" w14:textId="77777777" w:rsidR="009121EC" w:rsidRDefault="00000000">
      <w:r>
        <w:t xml:space="preserve">W przypadku ewentualnego postępowania upadłościowego, stopień zaspokojenia wierzyciela jest estymowany na 100%. </w:t>
      </w:r>
    </w:p>
    <w:p w14:paraId="1E0CBC49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3ED8475A" w14:textId="77777777">
        <w:tc>
          <w:tcPr>
            <w:tcW w:w="2160" w:type="dxa"/>
          </w:tcPr>
          <w:p w14:paraId="69A00499" w14:textId="77777777" w:rsidR="009121EC" w:rsidRDefault="00000000">
            <w:r>
              <w:lastRenderedPageBreak/>
              <w:t>Początkowa kwota wierzytelności</w:t>
            </w:r>
          </w:p>
        </w:tc>
        <w:tc>
          <w:tcPr>
            <w:tcW w:w="2160" w:type="dxa"/>
          </w:tcPr>
          <w:p w14:paraId="3ADD57BF" w14:textId="77777777" w:rsidR="009121EC" w:rsidRDefault="00000000">
            <w:r>
              <w:t>W tym suma należności głównych</w:t>
            </w:r>
          </w:p>
        </w:tc>
        <w:tc>
          <w:tcPr>
            <w:tcW w:w="2160" w:type="dxa"/>
          </w:tcPr>
          <w:p w14:paraId="587BFF05" w14:textId="77777777" w:rsidR="009121EC" w:rsidRDefault="00000000">
            <w:r>
              <w:t>Stopień umorzenia należności głównej</w:t>
            </w:r>
          </w:p>
        </w:tc>
        <w:tc>
          <w:tcPr>
            <w:tcW w:w="2160" w:type="dxa"/>
          </w:tcPr>
          <w:p w14:paraId="27F34B58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3B9E315B" w14:textId="77777777" w:rsidR="009121EC" w:rsidRDefault="00000000">
            <w:r>
              <w:t>Całkowity stopień zaspokojenia po korekcie inflacyjnej</w:t>
            </w:r>
          </w:p>
        </w:tc>
      </w:tr>
      <w:tr w:rsidR="009121EC" w14:paraId="5EB99A74" w14:textId="77777777">
        <w:tc>
          <w:tcPr>
            <w:tcW w:w="2160" w:type="dxa"/>
          </w:tcPr>
          <w:p w14:paraId="0A3612A1" w14:textId="77777777" w:rsidR="009121EC" w:rsidRDefault="00000000">
            <w:r>
              <w:t>103 323,00 zł</w:t>
            </w:r>
          </w:p>
        </w:tc>
        <w:tc>
          <w:tcPr>
            <w:tcW w:w="2160" w:type="dxa"/>
          </w:tcPr>
          <w:p w14:paraId="5775502D" w14:textId="77777777" w:rsidR="009121EC" w:rsidRDefault="00000000">
            <w:r>
              <w:t>89 000,00 zł</w:t>
            </w:r>
          </w:p>
        </w:tc>
        <w:tc>
          <w:tcPr>
            <w:tcW w:w="2160" w:type="dxa"/>
          </w:tcPr>
          <w:p w14:paraId="4A91B633" w14:textId="77777777" w:rsidR="009121EC" w:rsidRDefault="00000000">
            <w:r>
              <w:t>10%</w:t>
            </w:r>
          </w:p>
        </w:tc>
        <w:tc>
          <w:tcPr>
            <w:tcW w:w="2160" w:type="dxa"/>
          </w:tcPr>
          <w:p w14:paraId="530792ED" w14:textId="77777777" w:rsidR="009121EC" w:rsidRDefault="00000000">
            <w:r>
              <w:t>77.52%</w:t>
            </w:r>
          </w:p>
        </w:tc>
        <w:tc>
          <w:tcPr>
            <w:tcW w:w="2160" w:type="dxa"/>
          </w:tcPr>
          <w:p w14:paraId="649C641D" w14:textId="77777777" w:rsidR="009121EC" w:rsidRDefault="00000000">
            <w:r>
              <w:t>60.33%</w:t>
            </w:r>
          </w:p>
        </w:tc>
      </w:tr>
    </w:tbl>
    <w:p w14:paraId="11673FE4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9"/>
        <w:gridCol w:w="2158"/>
        <w:gridCol w:w="2158"/>
      </w:tblGrid>
      <w:tr w:rsidR="009121EC" w14:paraId="0408DAAD" w14:textId="77777777">
        <w:tc>
          <w:tcPr>
            <w:tcW w:w="2160" w:type="dxa"/>
          </w:tcPr>
          <w:p w14:paraId="410AC8F2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55CBD1D1" w14:textId="77777777" w:rsidR="009121EC" w:rsidRDefault="00000000">
            <w:r>
              <w:t>Kwota miesięcznej raty</w:t>
            </w:r>
          </w:p>
        </w:tc>
        <w:tc>
          <w:tcPr>
            <w:tcW w:w="2160" w:type="dxa"/>
          </w:tcPr>
          <w:p w14:paraId="073D19F8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4E19E6CE" w14:textId="77777777" w:rsidR="009121EC" w:rsidRDefault="00000000">
            <w:r>
              <w:t>Łączna kwota spłaty</w:t>
            </w:r>
          </w:p>
        </w:tc>
        <w:tc>
          <w:tcPr>
            <w:tcW w:w="2160" w:type="dxa"/>
          </w:tcPr>
          <w:p w14:paraId="52B85104" w14:textId="77777777" w:rsidR="009121EC" w:rsidRDefault="00000000">
            <w:r>
              <w:t>Estymowany stopień zaspokojenia w przypadku upadłości</w:t>
            </w:r>
          </w:p>
        </w:tc>
      </w:tr>
      <w:tr w:rsidR="009121EC" w14:paraId="02D093FD" w14:textId="77777777">
        <w:tc>
          <w:tcPr>
            <w:tcW w:w="2160" w:type="dxa"/>
          </w:tcPr>
          <w:p w14:paraId="62B9D89E" w14:textId="77777777" w:rsidR="009121EC" w:rsidRDefault="00000000">
            <w:r>
              <w:t>96</w:t>
            </w:r>
          </w:p>
        </w:tc>
        <w:tc>
          <w:tcPr>
            <w:tcW w:w="2160" w:type="dxa"/>
          </w:tcPr>
          <w:p w14:paraId="0EB800F7" w14:textId="77777777" w:rsidR="009121EC" w:rsidRDefault="00000000">
            <w:r>
              <w:t>834,38 zł</w:t>
            </w:r>
          </w:p>
        </w:tc>
        <w:tc>
          <w:tcPr>
            <w:tcW w:w="2160" w:type="dxa"/>
          </w:tcPr>
          <w:p w14:paraId="4409B5DC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43928041" w14:textId="77777777" w:rsidR="009121EC" w:rsidRDefault="00000000">
            <w:r>
              <w:t>80 100,48 zł</w:t>
            </w:r>
          </w:p>
        </w:tc>
        <w:tc>
          <w:tcPr>
            <w:tcW w:w="2160" w:type="dxa"/>
          </w:tcPr>
          <w:p w14:paraId="664F1474" w14:textId="77777777" w:rsidR="009121EC" w:rsidRDefault="00000000">
            <w:r>
              <w:t>(brak)</w:t>
            </w:r>
          </w:p>
        </w:tc>
      </w:tr>
    </w:tbl>
    <w:p w14:paraId="16CA0F54" w14:textId="77777777" w:rsidR="009121EC" w:rsidRDefault="009121EC"/>
    <w:p w14:paraId="60BAC8C1" w14:textId="77777777" w:rsidR="009121EC" w:rsidRDefault="00000000">
      <w:r>
        <w:rPr>
          <w:b/>
        </w:rPr>
        <w:t>Harmonogram spłaty</w:t>
      </w:r>
    </w:p>
    <w:p w14:paraId="78B490A4" w14:textId="77777777" w:rsidR="009121EC" w:rsidRDefault="009121E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400"/>
        <w:gridCol w:w="5400"/>
      </w:tblGrid>
      <w:tr w:rsidR="009121EC" w14:paraId="2EBDEF1E" w14:textId="77777777">
        <w:tc>
          <w:tcPr>
            <w:tcW w:w="5400" w:type="dxa"/>
          </w:tcPr>
          <w:p w14:paraId="421DDF6F" w14:textId="77777777" w:rsidR="009121EC" w:rsidRDefault="00000000">
            <w:r>
              <w:t>Miesiąc</w:t>
            </w:r>
          </w:p>
        </w:tc>
        <w:tc>
          <w:tcPr>
            <w:tcW w:w="5400" w:type="dxa"/>
          </w:tcPr>
          <w:p w14:paraId="0F1188E8" w14:textId="77777777" w:rsidR="009121EC" w:rsidRDefault="00000000">
            <w:r>
              <w:t>Miesiąc 1-96</w:t>
            </w:r>
          </w:p>
        </w:tc>
      </w:tr>
      <w:tr w:rsidR="009121EC" w14:paraId="3FB463F5" w14:textId="77777777">
        <w:tc>
          <w:tcPr>
            <w:tcW w:w="5400" w:type="dxa"/>
          </w:tcPr>
          <w:p w14:paraId="478B2CA3" w14:textId="77777777" w:rsidR="009121EC" w:rsidRDefault="00000000">
            <w:r>
              <w:t>Kwota</w:t>
            </w:r>
          </w:p>
        </w:tc>
        <w:tc>
          <w:tcPr>
            <w:tcW w:w="5400" w:type="dxa"/>
          </w:tcPr>
          <w:p w14:paraId="413C41C8" w14:textId="77777777" w:rsidR="009121EC" w:rsidRDefault="00000000">
            <w:r>
              <w:t>834,38 zł</w:t>
            </w:r>
          </w:p>
        </w:tc>
      </w:tr>
    </w:tbl>
    <w:p w14:paraId="066B80BB" w14:textId="77777777" w:rsidR="009121EC" w:rsidRDefault="009121EC"/>
    <w:p w14:paraId="6536276D" w14:textId="77777777" w:rsidR="009121EC" w:rsidRDefault="00000000">
      <w:r>
        <w:br w:type="page"/>
      </w:r>
    </w:p>
    <w:p w14:paraId="699361DA" w14:textId="77777777" w:rsidR="009121EC" w:rsidRDefault="00000000">
      <w:pPr>
        <w:pStyle w:val="Heading1"/>
      </w:pPr>
      <w:bookmarkStart w:id="16" w:name="_Toc199495655"/>
      <w:r>
        <w:lastRenderedPageBreak/>
        <w:t>Grupa 5: Do 200 tys.</w:t>
      </w:r>
      <w:bookmarkEnd w:id="16"/>
    </w:p>
    <w:p w14:paraId="561DDF8E" w14:textId="77777777" w:rsidR="009121EC" w:rsidRDefault="00000000">
      <w:r>
        <w:rPr>
          <w:b/>
        </w:rPr>
        <w:t>Wierzyciele którym przysługuje wierzytelność na dzień układowy w kwocie niższej niż 200.000,00 zł niezaliczeni do innych grup wierzycieli.</w:t>
      </w:r>
    </w:p>
    <w:p w14:paraId="531631FC" w14:textId="77777777" w:rsidR="009121EC" w:rsidRDefault="009121EC"/>
    <w:p w14:paraId="158883DD" w14:textId="77777777" w:rsidR="009121EC" w:rsidRDefault="00000000">
      <w:r>
        <w:t xml:space="preserve">Zaspokojenie 0% sumy wierzytelności poprzez spłatę w 96 równych ratach płatnych co miesiąc. </w:t>
      </w:r>
    </w:p>
    <w:p w14:paraId="31377DAB" w14:textId="77777777" w:rsidR="009121EC" w:rsidRDefault="00000000">
      <w:r>
        <w:t>Termin płatności pierwszej raty przypada na ostatni dzień miesiąca następującego po miesiącu, w którym Sąd obwieści o uprawomocnieniu się postanowienia Sądu o zatwierdzeniu układu.</w:t>
      </w:r>
    </w:p>
    <w:p w14:paraId="38DCCE6E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8"/>
      </w:tblGrid>
      <w:tr w:rsidR="009121EC" w14:paraId="676567F2" w14:textId="77777777">
        <w:tc>
          <w:tcPr>
            <w:tcW w:w="2160" w:type="dxa"/>
          </w:tcPr>
          <w:p w14:paraId="09E82C7A" w14:textId="77777777" w:rsidR="009121EC" w:rsidRDefault="00000000">
            <w:r>
              <w:t>Całkowita kwota wierzytelności</w:t>
            </w:r>
          </w:p>
        </w:tc>
        <w:tc>
          <w:tcPr>
            <w:tcW w:w="2160" w:type="dxa"/>
          </w:tcPr>
          <w:p w14:paraId="2AFF07FB" w14:textId="77777777" w:rsidR="009121EC" w:rsidRDefault="00000000">
            <w:r>
              <w:t>W tym należności głównych</w:t>
            </w:r>
          </w:p>
        </w:tc>
        <w:tc>
          <w:tcPr>
            <w:tcW w:w="2160" w:type="dxa"/>
          </w:tcPr>
          <w:p w14:paraId="14E202DA" w14:textId="77777777" w:rsidR="009121EC" w:rsidRDefault="00000000">
            <w:r>
              <w:t>Stopień umorzenia należności głównych</w:t>
            </w:r>
          </w:p>
        </w:tc>
        <w:tc>
          <w:tcPr>
            <w:tcW w:w="2160" w:type="dxa"/>
          </w:tcPr>
          <w:p w14:paraId="3D94106E" w14:textId="77777777" w:rsidR="009121EC" w:rsidRDefault="00000000">
            <w:r>
              <w:t>Całkowity stopień zaspokojenia</w:t>
            </w:r>
          </w:p>
        </w:tc>
        <w:tc>
          <w:tcPr>
            <w:tcW w:w="2160" w:type="dxa"/>
          </w:tcPr>
          <w:p w14:paraId="74471E61" w14:textId="77777777" w:rsidR="009121EC" w:rsidRDefault="00000000">
            <w:r>
              <w:t>Całkowity stopień zaspokojenia po korekcie inflacyjnej</w:t>
            </w:r>
          </w:p>
        </w:tc>
      </w:tr>
      <w:tr w:rsidR="009121EC" w14:paraId="5546EDBE" w14:textId="77777777">
        <w:tc>
          <w:tcPr>
            <w:tcW w:w="2160" w:type="dxa"/>
          </w:tcPr>
          <w:p w14:paraId="3851A0BB" w14:textId="77777777" w:rsidR="009121EC" w:rsidRDefault="00000000">
            <w:r>
              <w:t>0 zł</w:t>
            </w:r>
          </w:p>
        </w:tc>
        <w:tc>
          <w:tcPr>
            <w:tcW w:w="2160" w:type="dxa"/>
          </w:tcPr>
          <w:p w14:paraId="2E8FFC67" w14:textId="77777777" w:rsidR="009121EC" w:rsidRDefault="00000000">
            <w:r>
              <w:t>0 zł</w:t>
            </w:r>
          </w:p>
        </w:tc>
        <w:tc>
          <w:tcPr>
            <w:tcW w:w="2160" w:type="dxa"/>
          </w:tcPr>
          <w:p w14:paraId="64D2C66B" w14:textId="77777777" w:rsidR="009121EC" w:rsidRDefault="00000000">
            <w:r>
              <w:t>20%</w:t>
            </w:r>
          </w:p>
        </w:tc>
        <w:tc>
          <w:tcPr>
            <w:tcW w:w="2160" w:type="dxa"/>
          </w:tcPr>
          <w:p w14:paraId="0512F042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4297D158" w14:textId="77777777" w:rsidR="009121EC" w:rsidRDefault="00000000">
            <w:r>
              <w:t>0%</w:t>
            </w:r>
          </w:p>
        </w:tc>
      </w:tr>
    </w:tbl>
    <w:p w14:paraId="1D1B6486" w14:textId="77777777" w:rsidR="009121EC" w:rsidRDefault="009121E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58"/>
        <w:gridCol w:w="2158"/>
        <w:gridCol w:w="2159"/>
        <w:gridCol w:w="2158"/>
      </w:tblGrid>
      <w:tr w:rsidR="009121EC" w14:paraId="567609FD" w14:textId="77777777">
        <w:tc>
          <w:tcPr>
            <w:tcW w:w="2160" w:type="dxa"/>
          </w:tcPr>
          <w:p w14:paraId="3EEC1BA2" w14:textId="77777777" w:rsidR="009121EC" w:rsidRDefault="00000000">
            <w:r>
              <w:t>Liczba rat</w:t>
            </w:r>
          </w:p>
        </w:tc>
        <w:tc>
          <w:tcPr>
            <w:tcW w:w="2160" w:type="dxa"/>
          </w:tcPr>
          <w:p w14:paraId="02ECDD1D" w14:textId="77777777" w:rsidR="009121EC" w:rsidRDefault="00000000">
            <w:r>
              <w:t>Pierwsza rata</w:t>
            </w:r>
          </w:p>
        </w:tc>
        <w:tc>
          <w:tcPr>
            <w:tcW w:w="2160" w:type="dxa"/>
          </w:tcPr>
          <w:p w14:paraId="53EB4B0B" w14:textId="77777777" w:rsidR="009121EC" w:rsidRDefault="00000000">
            <w:r>
              <w:t>Maksymalna kwota miesięcznej raty</w:t>
            </w:r>
          </w:p>
        </w:tc>
        <w:tc>
          <w:tcPr>
            <w:tcW w:w="2160" w:type="dxa"/>
          </w:tcPr>
          <w:p w14:paraId="04AAD6F8" w14:textId="77777777" w:rsidR="009121EC" w:rsidRDefault="00000000">
            <w:r>
              <w:t>Oprocentowanie rat (rocznie)</w:t>
            </w:r>
          </w:p>
        </w:tc>
        <w:tc>
          <w:tcPr>
            <w:tcW w:w="2160" w:type="dxa"/>
          </w:tcPr>
          <w:p w14:paraId="290596C7" w14:textId="77777777" w:rsidR="009121EC" w:rsidRDefault="00000000">
            <w:r>
              <w:t>Łączna kwota spłaty kapitału</w:t>
            </w:r>
          </w:p>
        </w:tc>
      </w:tr>
      <w:tr w:rsidR="009121EC" w14:paraId="597CC34D" w14:textId="77777777">
        <w:tc>
          <w:tcPr>
            <w:tcW w:w="2160" w:type="dxa"/>
          </w:tcPr>
          <w:p w14:paraId="096A0382" w14:textId="77777777" w:rsidR="009121EC" w:rsidRDefault="00000000">
            <w:r>
              <w:t>96</w:t>
            </w:r>
          </w:p>
        </w:tc>
        <w:tc>
          <w:tcPr>
            <w:tcW w:w="2160" w:type="dxa"/>
          </w:tcPr>
          <w:p w14:paraId="4315487A" w14:textId="77777777" w:rsidR="009121EC" w:rsidRDefault="00000000">
            <w:r>
              <w:t>0 zł</w:t>
            </w:r>
          </w:p>
        </w:tc>
        <w:tc>
          <w:tcPr>
            <w:tcW w:w="2160" w:type="dxa"/>
          </w:tcPr>
          <w:p w14:paraId="228A3748" w14:textId="77777777" w:rsidR="009121EC" w:rsidRDefault="00000000">
            <w:r>
              <w:t>0 zł</w:t>
            </w:r>
          </w:p>
        </w:tc>
        <w:tc>
          <w:tcPr>
            <w:tcW w:w="2160" w:type="dxa"/>
          </w:tcPr>
          <w:p w14:paraId="2B777928" w14:textId="77777777" w:rsidR="009121EC" w:rsidRDefault="00000000">
            <w:r>
              <w:t>0%</w:t>
            </w:r>
          </w:p>
        </w:tc>
        <w:tc>
          <w:tcPr>
            <w:tcW w:w="2160" w:type="dxa"/>
          </w:tcPr>
          <w:p w14:paraId="216FCF9F" w14:textId="77777777" w:rsidR="009121EC" w:rsidRDefault="00000000">
            <w:r>
              <w:t>0 zł</w:t>
            </w:r>
          </w:p>
        </w:tc>
      </w:tr>
    </w:tbl>
    <w:p w14:paraId="225D5830" w14:textId="77777777" w:rsidR="009121EC" w:rsidRDefault="009121EC"/>
    <w:sectPr w:rsidR="009121EC" w:rsidSect="00D1345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720" w:right="720" w:bottom="720" w:left="7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95ED1" w14:textId="77777777" w:rsidR="00D53FA6" w:rsidRDefault="00D53FA6" w:rsidP="00DB2843">
      <w:pPr>
        <w:spacing w:after="0" w:line="240" w:lineRule="auto"/>
      </w:pPr>
      <w:r>
        <w:separator/>
      </w:r>
    </w:p>
  </w:endnote>
  <w:endnote w:type="continuationSeparator" w:id="0">
    <w:p w14:paraId="4A8785E9" w14:textId="77777777" w:rsidR="00D53FA6" w:rsidRDefault="00D53FA6" w:rsidP="00DB2843">
      <w:pPr>
        <w:spacing w:after="0" w:line="240" w:lineRule="auto"/>
      </w:pPr>
      <w:r>
        <w:continuationSeparator/>
      </w:r>
    </w:p>
  </w:endnote>
  <w:endnote w:type="continuationNotice" w:id="1">
    <w:p w14:paraId="5E24737C" w14:textId="77777777" w:rsidR="00D53FA6" w:rsidRDefault="00D53F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49197831"/>
      <w:docPartObj>
        <w:docPartGallery w:val="Page Numbers (Bottom of Page)"/>
        <w:docPartUnique/>
      </w:docPartObj>
    </w:sdtPr>
    <w:sdtContent>
      <w:p w14:paraId="3FE6A61F" w14:textId="77777777" w:rsidR="00DB37D7" w:rsidRDefault="00DB37D7" w:rsidP="00EA40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383C9B">
          <w:rPr>
            <w:rStyle w:val="PageNumber"/>
          </w:rPr>
          <w:fldChar w:fldCharType="separate"/>
        </w:r>
        <w:r w:rsidR="00383C9B">
          <w:rPr>
            <w:rStyle w:val="PageNumber"/>
            <w:noProof/>
          </w:rPr>
          <w:t>0</w:t>
        </w:r>
        <w:r>
          <w:rPr>
            <w:rStyle w:val="PageNumber"/>
          </w:rPr>
          <w:fldChar w:fldCharType="end"/>
        </w:r>
      </w:p>
    </w:sdtContent>
  </w:sdt>
  <w:p w14:paraId="0E7FDCEA" w14:textId="77777777" w:rsidR="00B43868" w:rsidRDefault="00B43868" w:rsidP="00DB37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17" w:name="_Hlk52379179" w:displacedByCustomXml="next"/>
  <w:bookmarkStart w:id="18" w:name="_Hlk31711706" w:displacedByCustomXml="next"/>
  <w:bookmarkStart w:id="19" w:name="_Hlk31804809" w:displacedByCustomXml="next"/>
  <w:sdt>
    <w:sdtPr>
      <w:rPr>
        <w:rStyle w:val="PageNumber"/>
      </w:rPr>
      <w:id w:val="-1567565408"/>
      <w:docPartObj>
        <w:docPartGallery w:val="Page Numbers (Bottom of Page)"/>
        <w:docPartUnique/>
      </w:docPartObj>
    </w:sdtPr>
    <w:sdtContent>
      <w:p w14:paraId="7F080F37" w14:textId="77777777" w:rsidR="00DB37D7" w:rsidRDefault="00DB37D7" w:rsidP="00EA40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33CA7E4" w14:textId="77777777" w:rsidR="00093788" w:rsidRDefault="00093788" w:rsidP="00DB37D7">
    <w:pPr>
      <w:pStyle w:val="Footer"/>
      <w:ind w:right="360"/>
    </w:pPr>
    <w:r w:rsidRPr="003A0E2F">
      <w:rPr>
        <w:rStyle w:val="normaltextrun"/>
        <w:rFonts w:ascii="Calibri" w:hAnsi="Calibri" w:cs="Calibri"/>
        <w:color w:val="595959" w:themeColor="text1" w:themeTint="A6"/>
        <w:position w:val="2"/>
        <w:sz w:val="14"/>
        <w:szCs w:val="14"/>
      </w:rPr>
      <w:t>Wygenerowano za pomocą</w:t>
    </w:r>
    <w:r w:rsidRPr="003A0E2F">
      <w:rPr>
        <w:rStyle w:val="normaltextrun"/>
        <w:color w:val="7F7F7F" w:themeColor="text1" w:themeTint="80"/>
        <w:position w:val="4"/>
      </w:rPr>
      <w:t> </w:t>
    </w:r>
    <w:r w:rsidRPr="002A5D2A">
      <w:rPr>
        <w:rStyle w:val="eop"/>
        <w:color w:val="808080" w:themeColor="background1" w:themeShade="80"/>
      </w:rPr>
      <w:t> </w:t>
    </w:r>
    <w:bookmarkEnd w:id="17"/>
  </w:p>
  <w:bookmarkEnd w:id="19"/>
  <w:bookmarkEnd w:id="18"/>
  <w:p w14:paraId="7901B9DB" w14:textId="77777777" w:rsidR="001A3236" w:rsidRPr="00093788" w:rsidRDefault="0051160E" w:rsidP="00093788">
    <w:pPr>
      <w:pStyle w:val="Footer"/>
      <w:ind w:right="360"/>
      <w:rPr>
        <w:rFonts w:ascii="Bookman Old Style" w:hAnsi="Bookman Old Style"/>
      </w:rPr>
    </w:pPr>
    <w:r>
      <w:rPr>
        <w:rFonts w:ascii="Bookman Old Style" w:hAnsi="Bookman Old Style"/>
        <w:noProof/>
      </w:rPr>
      <w:drawing>
        <wp:inline distT="0" distB="0" distL="0" distR="0" wp14:anchorId="2A500840" wp14:editId="5B5951D2">
          <wp:extent cx="970731" cy="225425"/>
          <wp:effectExtent l="0" t="0" r="0" b="3175"/>
          <wp:docPr id="2140060262" name="Picture 2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060262" name="Picture 2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55" cy="25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7AA94" w14:textId="77777777" w:rsidR="00B43868" w:rsidRDefault="00B438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76CD" w14:textId="77777777" w:rsidR="00D53FA6" w:rsidRDefault="00D53FA6" w:rsidP="00DB2843">
      <w:pPr>
        <w:spacing w:after="0" w:line="240" w:lineRule="auto"/>
      </w:pPr>
      <w:r>
        <w:separator/>
      </w:r>
    </w:p>
  </w:footnote>
  <w:footnote w:type="continuationSeparator" w:id="0">
    <w:p w14:paraId="5EABDC21" w14:textId="77777777" w:rsidR="00D53FA6" w:rsidRDefault="00D53FA6" w:rsidP="00DB2843">
      <w:pPr>
        <w:spacing w:after="0" w:line="240" w:lineRule="auto"/>
      </w:pPr>
      <w:r>
        <w:continuationSeparator/>
      </w:r>
    </w:p>
  </w:footnote>
  <w:footnote w:type="continuationNotice" w:id="1">
    <w:p w14:paraId="72F54596" w14:textId="77777777" w:rsidR="00D53FA6" w:rsidRDefault="00D53F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82664955"/>
      <w:docPartObj>
        <w:docPartGallery w:val="Page Numbers (Top of Page)"/>
        <w:docPartUnique/>
      </w:docPartObj>
    </w:sdtPr>
    <w:sdtContent>
      <w:p w14:paraId="042BDC8B" w14:textId="77777777" w:rsidR="00592FFA" w:rsidRDefault="00592FFA" w:rsidP="00CC3973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 w:rsidR="00383C9B">
          <w:rPr>
            <w:rStyle w:val="PageNumber"/>
          </w:rPr>
          <w:fldChar w:fldCharType="separate"/>
        </w:r>
        <w:r w:rsidR="00383C9B">
          <w:rPr>
            <w:rStyle w:val="PageNumber"/>
            <w:noProof/>
          </w:rPr>
          <w:t>0</w:t>
        </w:r>
        <w:r>
          <w:rPr>
            <w:rStyle w:val="PageNumber"/>
          </w:rPr>
          <w:fldChar w:fldCharType="end"/>
        </w:r>
      </w:p>
    </w:sdtContent>
  </w:sdt>
  <w:p w14:paraId="21B87878" w14:textId="77777777" w:rsidR="00B32A76" w:rsidRDefault="00B32A76" w:rsidP="00592FFA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E41D1" w14:textId="77777777" w:rsidR="001A3236" w:rsidRDefault="001A32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A37" w14:textId="77777777" w:rsidR="00B43868" w:rsidRDefault="00B438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7653A9"/>
    <w:multiLevelType w:val="singleLevel"/>
    <w:tmpl w:val="E49CDC8C"/>
    <w:lvl w:ilvl="0">
      <w:start w:val="2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7" w15:restartNumberingAfterBreak="0">
    <w:nsid w:val="06D54E6B"/>
    <w:multiLevelType w:val="singleLevel"/>
    <w:tmpl w:val="1766286C"/>
    <w:lvl w:ilvl="0">
      <w:start w:val="3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07F622A1"/>
    <w:multiLevelType w:val="singleLevel"/>
    <w:tmpl w:val="6C767C36"/>
    <w:lvl w:ilvl="0">
      <w:start w:val="5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1E223D44"/>
    <w:multiLevelType w:val="singleLevel"/>
    <w:tmpl w:val="2DD6D784"/>
    <w:lvl w:ilvl="0">
      <w:start w:val="1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36257274"/>
    <w:multiLevelType w:val="singleLevel"/>
    <w:tmpl w:val="6C767C36"/>
    <w:lvl w:ilvl="0">
      <w:start w:val="5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44414014"/>
    <w:multiLevelType w:val="singleLevel"/>
    <w:tmpl w:val="E49CDC8C"/>
    <w:lvl w:ilvl="0">
      <w:start w:val="2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49F17928"/>
    <w:multiLevelType w:val="singleLevel"/>
    <w:tmpl w:val="2DD6D784"/>
    <w:lvl w:ilvl="0">
      <w:start w:val="1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551A0878"/>
    <w:multiLevelType w:val="singleLevel"/>
    <w:tmpl w:val="1766286C"/>
    <w:lvl w:ilvl="0">
      <w:start w:val="3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564D16C5"/>
    <w:multiLevelType w:val="singleLevel"/>
    <w:tmpl w:val="56324226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6D290739"/>
    <w:multiLevelType w:val="singleLevel"/>
    <w:tmpl w:val="56324226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1848402153">
    <w:abstractNumId w:val="9"/>
  </w:num>
  <w:num w:numId="2" w16cid:durableId="1950119855">
    <w:abstractNumId w:val="11"/>
  </w:num>
  <w:num w:numId="3" w16cid:durableId="552228537">
    <w:abstractNumId w:val="13"/>
  </w:num>
  <w:num w:numId="4" w16cid:durableId="76370403">
    <w:abstractNumId w:val="8"/>
  </w:num>
  <w:num w:numId="5" w16cid:durableId="1553886451">
    <w:abstractNumId w:val="14"/>
  </w:num>
  <w:num w:numId="6" w16cid:durableId="995718555">
    <w:abstractNumId w:val="12"/>
  </w:num>
  <w:num w:numId="7" w16cid:durableId="1671440944">
    <w:abstractNumId w:val="6"/>
  </w:num>
  <w:num w:numId="8" w16cid:durableId="638457808">
    <w:abstractNumId w:val="7"/>
  </w:num>
  <w:num w:numId="9" w16cid:durableId="102652914">
    <w:abstractNumId w:val="10"/>
  </w:num>
  <w:num w:numId="10" w16cid:durableId="31269502">
    <w:abstractNumId w:val="15"/>
  </w:num>
  <w:num w:numId="11" w16cid:durableId="1162502809">
    <w:abstractNumId w:val="5"/>
  </w:num>
  <w:num w:numId="12" w16cid:durableId="825165509">
    <w:abstractNumId w:val="5"/>
  </w:num>
  <w:num w:numId="13" w16cid:durableId="553473233">
    <w:abstractNumId w:val="3"/>
  </w:num>
  <w:num w:numId="14" w16cid:durableId="1565289414">
    <w:abstractNumId w:val="3"/>
  </w:num>
  <w:num w:numId="15" w16cid:durableId="913391887">
    <w:abstractNumId w:val="2"/>
  </w:num>
  <w:num w:numId="16" w16cid:durableId="600065370">
    <w:abstractNumId w:val="2"/>
  </w:num>
  <w:num w:numId="17" w16cid:durableId="282345056">
    <w:abstractNumId w:val="4"/>
  </w:num>
  <w:num w:numId="18" w16cid:durableId="1276057541">
    <w:abstractNumId w:val="4"/>
  </w:num>
  <w:num w:numId="19" w16cid:durableId="839127670">
    <w:abstractNumId w:val="1"/>
  </w:num>
  <w:num w:numId="20" w16cid:durableId="1778018551">
    <w:abstractNumId w:val="1"/>
  </w:num>
  <w:num w:numId="21" w16cid:durableId="2061705368">
    <w:abstractNumId w:val="0"/>
  </w:num>
  <w:num w:numId="22" w16cid:durableId="54776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43"/>
    <w:rsid w:val="0001425A"/>
    <w:rsid w:val="00016951"/>
    <w:rsid w:val="00025AB4"/>
    <w:rsid w:val="00030BB9"/>
    <w:rsid w:val="00036F39"/>
    <w:rsid w:val="00044599"/>
    <w:rsid w:val="00066D70"/>
    <w:rsid w:val="000823C2"/>
    <w:rsid w:val="0009054D"/>
    <w:rsid w:val="00093788"/>
    <w:rsid w:val="000A5E25"/>
    <w:rsid w:val="000B6921"/>
    <w:rsid w:val="000C381F"/>
    <w:rsid w:val="00126A35"/>
    <w:rsid w:val="00143250"/>
    <w:rsid w:val="001507CB"/>
    <w:rsid w:val="00154577"/>
    <w:rsid w:val="00155FF2"/>
    <w:rsid w:val="00190D67"/>
    <w:rsid w:val="001A3236"/>
    <w:rsid w:val="001A46DC"/>
    <w:rsid w:val="001E37C0"/>
    <w:rsid w:val="00232246"/>
    <w:rsid w:val="00254231"/>
    <w:rsid w:val="00265FD7"/>
    <w:rsid w:val="00282B4D"/>
    <w:rsid w:val="00291F81"/>
    <w:rsid w:val="002920A9"/>
    <w:rsid w:val="00294DBF"/>
    <w:rsid w:val="002B61E7"/>
    <w:rsid w:val="002F039A"/>
    <w:rsid w:val="00321BE4"/>
    <w:rsid w:val="00333136"/>
    <w:rsid w:val="003540E7"/>
    <w:rsid w:val="003655E6"/>
    <w:rsid w:val="0037144A"/>
    <w:rsid w:val="00383C9B"/>
    <w:rsid w:val="003842FD"/>
    <w:rsid w:val="003A7E2B"/>
    <w:rsid w:val="003E0149"/>
    <w:rsid w:val="003E53F0"/>
    <w:rsid w:val="003F1063"/>
    <w:rsid w:val="0042187E"/>
    <w:rsid w:val="00423A84"/>
    <w:rsid w:val="0042427B"/>
    <w:rsid w:val="004348DC"/>
    <w:rsid w:val="00460D9E"/>
    <w:rsid w:val="00467337"/>
    <w:rsid w:val="00471444"/>
    <w:rsid w:val="004B7F8B"/>
    <w:rsid w:val="0051160E"/>
    <w:rsid w:val="0051287B"/>
    <w:rsid w:val="00516E9B"/>
    <w:rsid w:val="00517F10"/>
    <w:rsid w:val="005237D3"/>
    <w:rsid w:val="0052639C"/>
    <w:rsid w:val="00532B9C"/>
    <w:rsid w:val="005377CF"/>
    <w:rsid w:val="00540D85"/>
    <w:rsid w:val="00544703"/>
    <w:rsid w:val="00554A94"/>
    <w:rsid w:val="00566E96"/>
    <w:rsid w:val="00576550"/>
    <w:rsid w:val="00592FFA"/>
    <w:rsid w:val="005D6F87"/>
    <w:rsid w:val="0060390F"/>
    <w:rsid w:val="00606372"/>
    <w:rsid w:val="00623C25"/>
    <w:rsid w:val="006460E4"/>
    <w:rsid w:val="00671D7A"/>
    <w:rsid w:val="00685590"/>
    <w:rsid w:val="00686CAA"/>
    <w:rsid w:val="006B49B6"/>
    <w:rsid w:val="006D1E74"/>
    <w:rsid w:val="006E1AD3"/>
    <w:rsid w:val="006E7834"/>
    <w:rsid w:val="006F7FBC"/>
    <w:rsid w:val="007100B1"/>
    <w:rsid w:val="00710B62"/>
    <w:rsid w:val="00723017"/>
    <w:rsid w:val="00754275"/>
    <w:rsid w:val="00763DCD"/>
    <w:rsid w:val="00784B2C"/>
    <w:rsid w:val="0078652C"/>
    <w:rsid w:val="00793BE1"/>
    <w:rsid w:val="0079522D"/>
    <w:rsid w:val="007C3379"/>
    <w:rsid w:val="007E19DC"/>
    <w:rsid w:val="007E7FA7"/>
    <w:rsid w:val="00817E07"/>
    <w:rsid w:val="0082606C"/>
    <w:rsid w:val="00845F27"/>
    <w:rsid w:val="00846217"/>
    <w:rsid w:val="008529B2"/>
    <w:rsid w:val="008A2485"/>
    <w:rsid w:val="008D269D"/>
    <w:rsid w:val="008E63C2"/>
    <w:rsid w:val="009121EC"/>
    <w:rsid w:val="00935872"/>
    <w:rsid w:val="00951B76"/>
    <w:rsid w:val="009620EE"/>
    <w:rsid w:val="00962747"/>
    <w:rsid w:val="009B17A7"/>
    <w:rsid w:val="009C332E"/>
    <w:rsid w:val="009D1664"/>
    <w:rsid w:val="009F4E6D"/>
    <w:rsid w:val="009F4FBB"/>
    <w:rsid w:val="00A01D7A"/>
    <w:rsid w:val="00A51E51"/>
    <w:rsid w:val="00A54FD8"/>
    <w:rsid w:val="00A576F4"/>
    <w:rsid w:val="00A65997"/>
    <w:rsid w:val="00A85788"/>
    <w:rsid w:val="00A90C3E"/>
    <w:rsid w:val="00A94792"/>
    <w:rsid w:val="00AE6910"/>
    <w:rsid w:val="00AF2968"/>
    <w:rsid w:val="00AF4497"/>
    <w:rsid w:val="00B1016F"/>
    <w:rsid w:val="00B32A76"/>
    <w:rsid w:val="00B43868"/>
    <w:rsid w:val="00B50015"/>
    <w:rsid w:val="00B7345E"/>
    <w:rsid w:val="00B90643"/>
    <w:rsid w:val="00B9385B"/>
    <w:rsid w:val="00B97475"/>
    <w:rsid w:val="00BE3660"/>
    <w:rsid w:val="00BE4173"/>
    <w:rsid w:val="00C00B3B"/>
    <w:rsid w:val="00C37DFA"/>
    <w:rsid w:val="00C57328"/>
    <w:rsid w:val="00C8456A"/>
    <w:rsid w:val="00C90689"/>
    <w:rsid w:val="00CC64CE"/>
    <w:rsid w:val="00CC6F28"/>
    <w:rsid w:val="00CD4372"/>
    <w:rsid w:val="00CD5ACA"/>
    <w:rsid w:val="00CD6D84"/>
    <w:rsid w:val="00CE1C86"/>
    <w:rsid w:val="00D03B9E"/>
    <w:rsid w:val="00D13451"/>
    <w:rsid w:val="00D15F16"/>
    <w:rsid w:val="00D20B52"/>
    <w:rsid w:val="00D35ED2"/>
    <w:rsid w:val="00D53B3E"/>
    <w:rsid w:val="00D53FA6"/>
    <w:rsid w:val="00D64297"/>
    <w:rsid w:val="00D6515B"/>
    <w:rsid w:val="00D706F5"/>
    <w:rsid w:val="00D9291D"/>
    <w:rsid w:val="00DA5733"/>
    <w:rsid w:val="00DB2843"/>
    <w:rsid w:val="00DB37D7"/>
    <w:rsid w:val="00DC15DC"/>
    <w:rsid w:val="00DE04A9"/>
    <w:rsid w:val="00DF2814"/>
    <w:rsid w:val="00E32988"/>
    <w:rsid w:val="00E50675"/>
    <w:rsid w:val="00E51E4E"/>
    <w:rsid w:val="00E5708D"/>
    <w:rsid w:val="00E61F19"/>
    <w:rsid w:val="00E74DF8"/>
    <w:rsid w:val="00E978B8"/>
    <w:rsid w:val="00E97B58"/>
    <w:rsid w:val="00EA5748"/>
    <w:rsid w:val="00EE61E6"/>
    <w:rsid w:val="00EF0B24"/>
    <w:rsid w:val="00F25EEA"/>
    <w:rsid w:val="00F357B9"/>
    <w:rsid w:val="00F37CC4"/>
    <w:rsid w:val="00F407AE"/>
    <w:rsid w:val="00F8136A"/>
    <w:rsid w:val="00F824CC"/>
    <w:rsid w:val="00F94AE5"/>
    <w:rsid w:val="00FA21D1"/>
    <w:rsid w:val="00FB7DBA"/>
    <w:rsid w:val="00FD2ADC"/>
    <w:rsid w:val="21070A05"/>
    <w:rsid w:val="676223A1"/>
    <w:rsid w:val="69F5C5B8"/>
    <w:rsid w:val="6ED5F5C6"/>
    <w:rsid w:val="73C88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3C5B8A"/>
  <w15:chartTrackingRefBased/>
  <w15:docId w15:val="{D22B0FD2-F2AC-4854-B5C0-47643444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F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2F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843"/>
  </w:style>
  <w:style w:type="paragraph" w:styleId="Footer">
    <w:name w:val="footer"/>
    <w:basedOn w:val="Normal"/>
    <w:link w:val="FooterChar"/>
    <w:uiPriority w:val="99"/>
    <w:unhideWhenUsed/>
    <w:rsid w:val="00DB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843"/>
  </w:style>
  <w:style w:type="character" w:customStyle="1" w:styleId="normaltextrun">
    <w:name w:val="normaltextrun"/>
    <w:basedOn w:val="DefaultParagraphFont"/>
    <w:rsid w:val="00DB2843"/>
  </w:style>
  <w:style w:type="character" w:customStyle="1" w:styleId="eop">
    <w:name w:val="eop"/>
    <w:basedOn w:val="DefaultParagraphFont"/>
    <w:rsid w:val="00DB2843"/>
  </w:style>
  <w:style w:type="table" w:styleId="TableGrid">
    <w:name w:val="Table Grid"/>
    <w:basedOn w:val="TableNormal"/>
    <w:uiPriority w:val="59"/>
    <w:rsid w:val="007952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87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4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592F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2F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92F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92FFA"/>
  </w:style>
  <w:style w:type="table" w:styleId="GridTable5Dark-Accent5">
    <w:name w:val="Grid Table 5 Dark Accent 5"/>
    <w:basedOn w:val="TableNormal"/>
    <w:uiPriority w:val="50"/>
    <w:rsid w:val="00D9291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1">
    <w:name w:val="Grid Table 4 Accent 1"/>
    <w:basedOn w:val="TableNormal"/>
    <w:uiPriority w:val="49"/>
    <w:rsid w:val="00D9291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FA21D1"/>
    <w:pPr>
      <w:spacing w:after="120" w:line="276" w:lineRule="auto"/>
    </w:pPr>
    <w:rPr>
      <w:rFonts w:eastAsiaTheme="minorEastAsia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FA21D1"/>
    <w:rPr>
      <w:rFonts w:eastAsiaTheme="minorEastAsia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FA21D1"/>
    <w:pPr>
      <w:spacing w:after="120" w:line="480" w:lineRule="auto"/>
    </w:pPr>
    <w:rPr>
      <w:rFonts w:eastAsiaTheme="minorEastAsia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A21D1"/>
    <w:rPr>
      <w:rFonts w:eastAsiaTheme="minorEastAsia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FA21D1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A21D1"/>
    <w:rPr>
      <w:rFonts w:eastAsiaTheme="minorEastAsia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FA21D1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21D1"/>
    <w:pPr>
      <w:spacing w:after="200" w:line="240" w:lineRule="auto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table" w:styleId="ColourfulGrid">
    <w:name w:val="Colorful Grid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urfulList">
    <w:name w:val="Colorful List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urfulShading">
    <w:name w:val="Colorful Shading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character" w:styleId="Emphasis">
    <w:name w:val="Emphasis"/>
    <w:basedOn w:val="DefaultParagraphFont"/>
    <w:uiPriority w:val="20"/>
    <w:qFormat/>
    <w:rsid w:val="00FA21D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1D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1D1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21D1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1D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1D1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styleId="IntenseEmphasis">
    <w:name w:val="Intense Emphasis"/>
    <w:basedOn w:val="DefaultParagraphFont"/>
    <w:uiPriority w:val="21"/>
    <w:qFormat/>
    <w:rsid w:val="00FA21D1"/>
    <w:rPr>
      <w:b/>
      <w:bCs/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21D1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1D1"/>
    <w:rPr>
      <w:rFonts w:eastAsiaTheme="minorEastAsia"/>
      <w:b/>
      <w:bCs/>
      <w:i/>
      <w:iCs/>
      <w:color w:val="4472C4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FA21D1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FA21D1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A21D1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A21D1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A21D1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A21D1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A21D1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A21D1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List">
    <w:name w:val="List"/>
    <w:basedOn w:val="Normal"/>
    <w:uiPriority w:val="99"/>
    <w:unhideWhenUsed/>
    <w:rsid w:val="00FA21D1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List2">
    <w:name w:val="List 2"/>
    <w:basedOn w:val="Normal"/>
    <w:uiPriority w:val="99"/>
    <w:unhideWhenUsed/>
    <w:rsid w:val="00FA21D1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List3">
    <w:name w:val="List 3"/>
    <w:basedOn w:val="Normal"/>
    <w:uiPriority w:val="99"/>
    <w:unhideWhenUsed/>
    <w:rsid w:val="00FA21D1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ListBullet">
    <w:name w:val="List Bullet"/>
    <w:basedOn w:val="Normal"/>
    <w:uiPriority w:val="99"/>
    <w:unhideWhenUsed/>
    <w:rsid w:val="00FA21D1"/>
    <w:pPr>
      <w:numPr>
        <w:numId w:val="1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Bullet2">
    <w:name w:val="List Bullet 2"/>
    <w:basedOn w:val="Normal"/>
    <w:uiPriority w:val="99"/>
    <w:unhideWhenUsed/>
    <w:rsid w:val="00FA21D1"/>
    <w:pPr>
      <w:numPr>
        <w:numId w:val="1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Bullet3">
    <w:name w:val="List Bullet 3"/>
    <w:basedOn w:val="Normal"/>
    <w:uiPriority w:val="99"/>
    <w:unhideWhenUsed/>
    <w:rsid w:val="00FA21D1"/>
    <w:pPr>
      <w:numPr>
        <w:numId w:val="1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Continue">
    <w:name w:val="List Continue"/>
    <w:basedOn w:val="Normal"/>
    <w:uiPriority w:val="99"/>
    <w:unhideWhenUsed/>
    <w:rsid w:val="00FA21D1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ListContinue2">
    <w:name w:val="List Continue 2"/>
    <w:basedOn w:val="Normal"/>
    <w:uiPriority w:val="99"/>
    <w:unhideWhenUsed/>
    <w:rsid w:val="00FA21D1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ListContinue3">
    <w:name w:val="List Continue 3"/>
    <w:basedOn w:val="Normal"/>
    <w:uiPriority w:val="99"/>
    <w:unhideWhenUsed/>
    <w:rsid w:val="00FA21D1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ListNumber">
    <w:name w:val="List Number"/>
    <w:basedOn w:val="Normal"/>
    <w:uiPriority w:val="99"/>
    <w:unhideWhenUsed/>
    <w:rsid w:val="00FA21D1"/>
    <w:pPr>
      <w:numPr>
        <w:numId w:val="18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Number2">
    <w:name w:val="List Number 2"/>
    <w:basedOn w:val="Normal"/>
    <w:uiPriority w:val="99"/>
    <w:unhideWhenUsed/>
    <w:rsid w:val="00FA21D1"/>
    <w:pPr>
      <w:numPr>
        <w:numId w:val="20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Number3">
    <w:name w:val="List Number 3"/>
    <w:basedOn w:val="Normal"/>
    <w:uiPriority w:val="99"/>
    <w:unhideWhenUsed/>
    <w:rsid w:val="00FA21D1"/>
    <w:pPr>
      <w:numPr>
        <w:numId w:val="2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FA21D1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paragraph" w:styleId="MacroText">
    <w:name w:val="macro"/>
    <w:link w:val="MacroTextChar"/>
    <w:uiPriority w:val="99"/>
    <w:unhideWhenUsed/>
    <w:rsid w:val="00FA21D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rsid w:val="00FA21D1"/>
    <w:rPr>
      <w:rFonts w:ascii="Courier" w:eastAsiaTheme="minorEastAsia" w:hAnsi="Courier"/>
      <w:sz w:val="20"/>
      <w:szCs w:val="20"/>
      <w:lang w:val="en-US"/>
    </w:rPr>
  </w:style>
  <w:style w:type="table" w:styleId="MediumGrid1">
    <w:name w:val="Medium Grid 1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FA21D1"/>
    <w:pPr>
      <w:spacing w:after="0" w:line="240" w:lineRule="auto"/>
    </w:pPr>
    <w:rPr>
      <w:rFonts w:eastAsiaTheme="minorEastAsia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A21D1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A21D1"/>
    <w:rPr>
      <w:rFonts w:eastAsiaTheme="minorEastAsia"/>
      <w:i/>
      <w:iCs/>
      <w:color w:val="000000" w:themeColor="text1"/>
      <w:lang w:val="en-US"/>
    </w:rPr>
  </w:style>
  <w:style w:type="character" w:styleId="Strong">
    <w:name w:val="Strong"/>
    <w:basedOn w:val="DefaultParagraphFont"/>
    <w:uiPriority w:val="22"/>
    <w:qFormat/>
    <w:rsid w:val="00FA21D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1D1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A21D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FA21D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FA21D1"/>
    <w:rPr>
      <w:smallCaps/>
      <w:color w:val="ED7D31" w:themeColor="accent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A21D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A21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21D1"/>
    <w:pPr>
      <w:spacing w:before="480" w:line="276" w:lineRule="auto"/>
      <w:outlineLvl w:val="9"/>
    </w:pPr>
    <w:rPr>
      <w:b/>
      <w:bCs/>
      <w:sz w:val="28"/>
      <w:szCs w:val="28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83C9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3C9B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383C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1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7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6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df297aa4-7c96-42a0-8fce-d4074f5f0c91">
      <Url xsi:nil="true"/>
      <Description xsi:nil="true"/>
    </Preview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F02A244202543AB86B94E0BF9A9FE" ma:contentTypeVersion="14" ma:contentTypeDescription="Utwórz nowy dokument." ma:contentTypeScope="" ma:versionID="5b5701d5dc2a22a32735f0c43c33cd81">
  <xsd:schema xmlns:xsd="http://www.w3.org/2001/XMLSchema" xmlns:xs="http://www.w3.org/2001/XMLSchema" xmlns:p="http://schemas.microsoft.com/office/2006/metadata/properties" xmlns:ns2="df297aa4-7c96-42a0-8fce-d4074f5f0c91" xmlns:ns3="1f7ed102-fe84-4368-81a0-8af5ed724bff" targetNamespace="http://schemas.microsoft.com/office/2006/metadata/properties" ma:root="true" ma:fieldsID="e665916debb6639fe323715184275f71" ns2:_="" ns3:_="">
    <xsd:import namespace="df297aa4-7c96-42a0-8fce-d4074f5f0c91"/>
    <xsd:import namespace="1f7ed102-fe84-4368-81a0-8af5ed724b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Preview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97aa4-7c96-42a0-8fce-d4074f5f0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Preview" ma:index="20" nillable="true" ma:displayName="Preview" ma:format="Image" ma:internalName="Previe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ed102-fe84-4368-81a0-8af5ed724bf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8FC8BF-65C2-41A1-BFB9-53BAC24B4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DCF080-B17D-D94F-94E6-A8FD523053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3882B2-C141-41D5-ABB8-896B38E4A030}">
  <ds:schemaRefs>
    <ds:schemaRef ds:uri="http://schemas.microsoft.com/office/2006/metadata/properties"/>
    <ds:schemaRef ds:uri="http://schemas.microsoft.com/office/infopath/2007/PartnerControls"/>
    <ds:schemaRef ds:uri="df297aa4-7c96-42a0-8fce-d4074f5f0c91"/>
  </ds:schemaRefs>
</ds:datastoreItem>
</file>

<file path=customXml/itemProps4.xml><?xml version="1.0" encoding="utf-8"?>
<ds:datastoreItem xmlns:ds="http://schemas.openxmlformats.org/officeDocument/2006/customXml" ds:itemID="{2FCAD964-17C6-46B5-8538-3A451D69B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297aa4-7c96-42a0-8fce-d4074f5f0c91"/>
    <ds:schemaRef ds:uri="1f7ed102-fe84-4368-81a0-8af5ed724b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2225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Solvbot</dc:creator>
  <cp:keywords/>
  <dc:description/>
  <cp:lastModifiedBy>Edyta Kobiela-Chodzyńska</cp:lastModifiedBy>
  <cp:revision>3</cp:revision>
  <dcterms:created xsi:type="dcterms:W3CDTF">2025-05-30T09:07:00Z</dcterms:created>
  <dcterms:modified xsi:type="dcterms:W3CDTF">2025-05-30T09:08:00Z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0x0101003B7F02A244202543AB86B94E0BF9A9FE</vt:lpwstr>
  </property>
</Properties>
</file>